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b/>
          <w:bCs/>
          <w:color w:val="1E7A46"/>
          <w:sz w:val="40"/>
          <w:szCs w:val="40"/>
        </w:rPr>
        <w:t xml:space="preserve">Annexe — Compacteur solaire (Binôme 1)</w:t>
      </w:r>
    </w:p>
    <w:p>
      <w:pPr>
        <w:pBdr>
          <w:bottom w:val="single" w:color="4ADE80" w:sz="6" w:space="8"/>
        </w:pBdr>
        <w:spacing w:after="300"/>
        <w:jc w:val="center"/>
      </w:pPr>
      <w:r>
        <w:rPr>
          <w:i/>
          <w:iCs/>
          <w:color w:val="555555"/>
          <w:sz w:val="20"/>
          <w:szCs w:val="20"/>
        </w:rPr>
        <w:t xml:space="preserve">Terminale STI2D — Spécialité SIN — Séquence 1</w:t>
      </w:r>
    </w:p>
    <w:p>
      <w:pPr>
        <w:spacing w:after="140"/>
        <w:jc w:val="right"/>
      </w:pPr>
      <w:r>
        <w:rPr>
          <w:i/>
          <w:iCs/>
          <w:color w:val="888888"/>
          <w:sz w:val="16"/>
          <w:szCs w:val="16"/>
        </w:rPr>
        <w:t xml:space="preserve">Annexe — non imprimée — ouverte sur le poste du binôme</w:t>
      </w:r>
    </w:p>
    <w:p>
      <w:pPr>
        <w:spacing w:after="100" w:before="240"/>
      </w:pPr>
      <w:r>
        <w:rPr>
          <w:b/>
          <w:bCs/>
          <w:color w:val="1E7A46"/>
          <w:sz w:val="28"/>
          <w:szCs w:val="28"/>
        </w:rPr>
        <w:t xml:space="preserve">Binôme 1 — Compacteur de déchets solaire communicant</w:t>
      </w:r>
    </w:p>
    <w:p>
      <w:pPr>
        <w:spacing w:after="80" w:before="150"/>
      </w:pPr>
      <w:r>
        <w:rPr>
          <w:b/>
          <w:bCs/>
          <w:color w:val="1E7A46"/>
          <w:sz w:val="22"/>
          <w:szCs w:val="22"/>
        </w:rPr>
        <w:t xml:space="preserve">Présentation</w:t>
      </w:r>
    </w:p>
    <w:p>
      <w:pPr>
        <w:spacing w:after="120"/>
      </w:pPr>
      <w:r>
        <w:rPr>
          <w:sz w:val="19"/>
          <w:szCs w:val="19"/>
        </w:rPr>
        <w:t xml:space="preserve">Installé sur la voie publique, ce conteneur tasse les déchets qu'il reçoit afin de multiplier sa capacité par cinq. Il fonctionne sans raccordement électrique. Le service de collecte suit l'état de chaque conteneur depuis une plateforme web et n'envoie un camion que sur les points réellement pleins.</w:t>
      </w:r>
    </w:p>
    <w:p>
      <w:pPr>
        <w:spacing w:after="140" w:before="140"/>
        <w:jc w:val="center"/>
      </w:pPr>
      <w:r>
        <w:drawing>
          <wp:inline distT="0" distB="0" distL="0" distR="0">
            <wp:extent cx="4381500" cy="2076450"/>
            <wp:effectExtent t="0" r="0" b="0" l="0"/>
            <wp:docPr id="1" name="Image 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4381500" cy="2076450"/>
                    </a:xfrm>
                    <a:prstGeom prst="rect">
                      <a:avLst/>
                    </a:prstGeom>
                  </pic:spPr>
                </pic:pic>
              </a:graphicData>
            </a:graphic>
          </wp:inline>
        </w:drawing>
      </w:r>
    </w:p>
    <w:p>
      <w:pPr>
        <w:spacing w:after="80" w:before="150"/>
      </w:pPr>
      <w:r>
        <w:rPr>
          <w:b/>
          <w:bCs/>
          <w:color w:val="1E7A46"/>
          <w:sz w:val="22"/>
          <w:szCs w:val="22"/>
        </w:rPr>
        <w:t xml:space="preserve">Fonctionnement</w:t>
      </w:r>
    </w:p>
    <w:p>
      <w:pPr>
        <w:spacing w:after="120"/>
      </w:pPr>
      <w:r>
        <w:rPr>
          <w:sz w:val="19"/>
          <w:szCs w:val="19"/>
        </w:rPr>
        <w:t xml:space="preserve">Le conteneur mesure en permanence la hauteur de déchets dans la cuve. Lorsque cette hauteur dépasse le seuil réglé en usine, un cycle de compaction est lancé, à condition que la porte soit fermée. Le taux de remplissage et la tension de la batterie sont transmis à la plateforme plusieurs fois par jour.</w:t>
      </w:r>
    </w:p>
    <w:p>
      <w:pPr>
        <w:spacing w:after="80" w:before="150"/>
      </w:pPr>
      <w:r>
        <w:rPr>
          <w:b/>
          <w:bCs/>
          <w:color w:val="1E7A46"/>
          <w:sz w:val="22"/>
          <w:szCs w:val="22"/>
        </w:rPr>
        <w:t xml:space="preserve">Composants</w:t>
      </w:r>
    </w:p>
    <w:tbl>
      <w:tblPr>
        <w:tblW w:type="dxa" w:w="10200"/>
        <w:tblBorders>
          <w:top w:val="single" w:color="auto" w:sz="4"/>
          <w:left w:val="single" w:color="auto" w:sz="4"/>
          <w:bottom w:val="single" w:color="auto" w:sz="4"/>
          <w:right w:val="single" w:color="auto" w:sz="4"/>
          <w:insideH w:val="single" w:color="auto" w:sz="4"/>
          <w:insideV w:val="single" w:color="auto" w:sz="4"/>
        </w:tblBorders>
      </w:tblPr>
      <w:tblGrid>
        <w:gridCol w:w="900"/>
        <w:gridCol w:w="4700"/>
        <w:gridCol w:w="4600"/>
      </w:tblGrid>
      <w:tr>
        <w:trPr>
          <w:cantSplit w:val="false"/>
          <w:tblHeader w:val="false"/>
        </w:trPr>
        <w:tc>
          <w:tcPr>
            <w:tcW w:type="dxa" w:w="900"/>
            <w:shd w:fill="1E7A46" w:val="clear"/>
            <w:tcMar>
              <w:top w:type="dxa" w:w="90"/>
              <w:left w:type="dxa" w:w="90"/>
              <w:bottom w:type="dxa" w:w="90"/>
              <w:right w:type="dxa" w:w="90"/>
            </w:tcMar>
            <w:vAlign w:val="center"/>
          </w:tcPr>
          <w:p>
            <w:r>
              <w:rPr>
                <w:b/>
                <w:bCs/>
                <w:color w:val="FFFFFF"/>
                <w:sz w:val="18"/>
                <w:szCs w:val="18"/>
              </w:rPr>
              <w:t xml:space="preserve">Repère</w:t>
            </w:r>
          </w:p>
        </w:tc>
        <w:tc>
          <w:tcPr>
            <w:tcW w:type="dxa" w:w="4700"/>
            <w:shd w:fill="1E7A46" w:val="clear"/>
            <w:tcMar>
              <w:top w:type="dxa" w:w="90"/>
              <w:left w:type="dxa" w:w="90"/>
              <w:bottom w:type="dxa" w:w="90"/>
              <w:right w:type="dxa" w:w="90"/>
            </w:tcMar>
            <w:vAlign w:val="center"/>
          </w:tcPr>
          <w:p>
            <w:r>
              <w:rPr>
                <w:b/>
                <w:bCs/>
                <w:color w:val="FFFFFF"/>
                <w:sz w:val="18"/>
                <w:szCs w:val="18"/>
              </w:rPr>
              <w:t xml:space="preserve">Désignation</w:t>
            </w:r>
          </w:p>
        </w:tc>
        <w:tc>
          <w:tcPr>
            <w:tcW w:type="dxa" w:w="4600"/>
            <w:shd w:fill="1E7A46" w:val="clear"/>
            <w:tcMar>
              <w:top w:type="dxa" w:w="90"/>
              <w:left w:type="dxa" w:w="90"/>
              <w:bottom w:type="dxa" w:w="90"/>
              <w:right w:type="dxa" w:w="90"/>
            </w:tcMar>
            <w:vAlign w:val="center"/>
          </w:tcPr>
          <w:p>
            <w:r>
              <w:rPr>
                <w:b/>
                <w:bCs/>
                <w:color w:val="FFFFFF"/>
                <w:sz w:val="18"/>
                <w:szCs w:val="18"/>
              </w:rPr>
              <w:t xml:space="preserve">Caractéristique</w:t>
            </w:r>
          </w:p>
        </w:tc>
      </w:tr>
      <w:tr>
        <w:trPr>
          <w:cantSplit w:val="false"/>
          <w:tblHeader w:val="false"/>
        </w:trPr>
        <w:tc>
          <w:tcPr>
            <w:tcW w:type="dxa" w:w="900"/>
            <w:shd w:fill="F2F2F2" w:val="clear"/>
            <w:tcMar>
              <w:top w:type="dxa" w:w="90"/>
              <w:left w:type="dxa" w:w="90"/>
              <w:bottom w:type="dxa" w:w="90"/>
              <w:right w:type="dxa" w:w="90"/>
            </w:tcMar>
            <w:vAlign w:val="center"/>
          </w:tcPr>
          <w:p>
            <w:r>
              <w:rPr>
                <w:b w:val="false"/>
                <w:bCs w:val="false"/>
                <w:sz w:val="18"/>
                <w:szCs w:val="18"/>
              </w:rPr>
              <w:t xml:space="preserve">1</w:t>
            </w:r>
          </w:p>
        </w:tc>
        <w:tc>
          <w:tcPr>
            <w:tcW w:type="dxa" w:w="4700"/>
            <w:tcMar>
              <w:top w:type="dxa" w:w="90"/>
              <w:left w:type="dxa" w:w="90"/>
              <w:bottom w:type="dxa" w:w="90"/>
              <w:right w:type="dxa" w:w="90"/>
            </w:tcMar>
            <w:vAlign w:val="center"/>
          </w:tcPr>
          <w:p>
            <w:r>
              <w:rPr>
                <w:b w:val="false"/>
                <w:bCs w:val="false"/>
                <w:sz w:val="18"/>
                <w:szCs w:val="18"/>
              </w:rPr>
              <w:t xml:space="preserve">Panneau photovoltaïque 40 W en toiture</w:t>
            </w:r>
          </w:p>
        </w:tc>
        <w:tc>
          <w:tcPr>
            <w:tcW w:type="dxa" w:w="4600"/>
            <w:tcMar>
              <w:top w:type="dxa" w:w="90"/>
              <w:left w:type="dxa" w:w="90"/>
              <w:bottom w:type="dxa" w:w="90"/>
              <w:right w:type="dxa" w:w="90"/>
            </w:tcMar>
            <w:vAlign w:val="center"/>
          </w:tcPr>
          <w:p>
            <w:r>
              <w:rPr>
                <w:b w:val="false"/>
                <w:bCs w:val="false"/>
                <w:sz w:val="18"/>
                <w:szCs w:val="18"/>
              </w:rPr>
              <w:t xml:space="preserve">recharge la batterie en journée</w:t>
            </w:r>
          </w:p>
        </w:tc>
      </w:tr>
      <w:tr>
        <w:trPr>
          <w:cantSplit w:val="false"/>
          <w:tblHeader w:val="false"/>
        </w:trPr>
        <w:tc>
          <w:tcPr>
            <w:tcW w:type="dxa" w:w="900"/>
            <w:shd w:fill="F2F2F2" w:val="clear"/>
            <w:tcMar>
              <w:top w:type="dxa" w:w="90"/>
              <w:left w:type="dxa" w:w="90"/>
              <w:bottom w:type="dxa" w:w="90"/>
              <w:right w:type="dxa" w:w="90"/>
            </w:tcMar>
            <w:vAlign w:val="center"/>
          </w:tcPr>
          <w:p>
            <w:r>
              <w:rPr>
                <w:b w:val="false"/>
                <w:bCs w:val="false"/>
                <w:sz w:val="18"/>
                <w:szCs w:val="18"/>
              </w:rPr>
              <w:t xml:space="preserve">2</w:t>
            </w:r>
          </w:p>
        </w:tc>
        <w:tc>
          <w:tcPr>
            <w:tcW w:type="dxa" w:w="4700"/>
            <w:tcMar>
              <w:top w:type="dxa" w:w="90"/>
              <w:left w:type="dxa" w:w="90"/>
              <w:bottom w:type="dxa" w:w="90"/>
              <w:right w:type="dxa" w:w="90"/>
            </w:tcMar>
            <w:vAlign w:val="center"/>
          </w:tcPr>
          <w:p>
            <w:r>
              <w:rPr>
                <w:b w:val="false"/>
                <w:bCs w:val="false"/>
                <w:sz w:val="18"/>
                <w:szCs w:val="18"/>
              </w:rPr>
              <w:t xml:space="preserve">Batterie plomb étanche 12 V – 20 Ah</w:t>
            </w:r>
          </w:p>
        </w:tc>
        <w:tc>
          <w:tcPr>
            <w:tcW w:type="dxa" w:w="4600"/>
            <w:tcMar>
              <w:top w:type="dxa" w:w="90"/>
              <w:left w:type="dxa" w:w="90"/>
              <w:bottom w:type="dxa" w:w="90"/>
              <w:right w:type="dxa" w:w="90"/>
            </w:tcMar>
            <w:vAlign w:val="center"/>
          </w:tcPr>
          <w:p>
            <w:r>
              <w:rPr>
                <w:b w:val="false"/>
                <w:bCs w:val="false"/>
                <w:sz w:val="18"/>
                <w:szCs w:val="18"/>
              </w:rPr>
              <w:t xml:space="preserve">autonomie annoncée 15 jours sans soleil</w:t>
            </w:r>
          </w:p>
        </w:tc>
      </w:tr>
      <w:tr>
        <w:trPr>
          <w:cantSplit w:val="false"/>
          <w:tblHeader w:val="false"/>
        </w:trPr>
        <w:tc>
          <w:tcPr>
            <w:tcW w:type="dxa" w:w="900"/>
            <w:shd w:fill="F2F2F2" w:val="clear"/>
            <w:tcMar>
              <w:top w:type="dxa" w:w="90"/>
              <w:left w:type="dxa" w:w="90"/>
              <w:bottom w:type="dxa" w:w="90"/>
              <w:right w:type="dxa" w:w="90"/>
            </w:tcMar>
            <w:vAlign w:val="center"/>
          </w:tcPr>
          <w:p>
            <w:r>
              <w:rPr>
                <w:b w:val="false"/>
                <w:bCs w:val="false"/>
                <w:sz w:val="18"/>
                <w:szCs w:val="18"/>
              </w:rPr>
              <w:t xml:space="preserve">3</w:t>
            </w:r>
          </w:p>
        </w:tc>
        <w:tc>
          <w:tcPr>
            <w:tcW w:type="dxa" w:w="4700"/>
            <w:tcMar>
              <w:top w:type="dxa" w:w="90"/>
              <w:left w:type="dxa" w:w="90"/>
              <w:bottom w:type="dxa" w:w="90"/>
              <w:right w:type="dxa" w:w="90"/>
            </w:tcMar>
            <w:vAlign w:val="center"/>
          </w:tcPr>
          <w:p>
            <w:r>
              <w:rPr>
                <w:b w:val="false"/>
                <w:bCs w:val="false"/>
                <w:sz w:val="18"/>
                <w:szCs w:val="18"/>
              </w:rPr>
              <w:t xml:space="preserve">Capteur à ultrasons SRF05 sous le capot</w:t>
            </w:r>
          </w:p>
        </w:tc>
        <w:tc>
          <w:tcPr>
            <w:tcW w:type="dxa" w:w="4600"/>
            <w:tcMar>
              <w:top w:type="dxa" w:w="90"/>
              <w:left w:type="dxa" w:w="90"/>
              <w:bottom w:type="dxa" w:w="90"/>
              <w:right w:type="dxa" w:w="90"/>
            </w:tcMar>
            <w:vAlign w:val="center"/>
          </w:tcPr>
          <w:p>
            <w:r>
              <w:rPr>
                <w:b w:val="false"/>
                <w:bCs w:val="false"/>
                <w:sz w:val="18"/>
                <w:szCs w:val="18"/>
              </w:rPr>
              <w:t xml:space="preserve">portée 3 m, mesure la distance au sommet des déchets</w:t>
            </w:r>
          </w:p>
        </w:tc>
      </w:tr>
      <w:tr>
        <w:trPr>
          <w:cantSplit w:val="false"/>
          <w:tblHeader w:val="false"/>
        </w:trPr>
        <w:tc>
          <w:tcPr>
            <w:tcW w:type="dxa" w:w="900"/>
            <w:shd w:fill="F2F2F2" w:val="clear"/>
            <w:tcMar>
              <w:top w:type="dxa" w:w="90"/>
              <w:left w:type="dxa" w:w="90"/>
              <w:bottom w:type="dxa" w:w="90"/>
              <w:right w:type="dxa" w:w="90"/>
            </w:tcMar>
            <w:vAlign w:val="center"/>
          </w:tcPr>
          <w:p>
            <w:r>
              <w:rPr>
                <w:b w:val="false"/>
                <w:bCs w:val="false"/>
                <w:sz w:val="18"/>
                <w:szCs w:val="18"/>
              </w:rPr>
              <w:t xml:space="preserve">4</w:t>
            </w:r>
          </w:p>
        </w:tc>
        <w:tc>
          <w:tcPr>
            <w:tcW w:type="dxa" w:w="4700"/>
            <w:tcMar>
              <w:top w:type="dxa" w:w="90"/>
              <w:left w:type="dxa" w:w="90"/>
              <w:bottom w:type="dxa" w:w="90"/>
              <w:right w:type="dxa" w:w="90"/>
            </w:tcMar>
            <w:vAlign w:val="center"/>
          </w:tcPr>
          <w:p>
            <w:r>
              <w:rPr>
                <w:b w:val="false"/>
                <w:bCs w:val="false"/>
                <w:sz w:val="18"/>
                <w:szCs w:val="18"/>
              </w:rPr>
              <w:t xml:space="preserve">Contact de porte tout ou rien</w:t>
            </w:r>
          </w:p>
        </w:tc>
        <w:tc>
          <w:tcPr>
            <w:tcW w:type="dxa" w:w="4600"/>
            <w:tcMar>
              <w:top w:type="dxa" w:w="90"/>
              <w:left w:type="dxa" w:w="90"/>
              <w:bottom w:type="dxa" w:w="90"/>
              <w:right w:type="dxa" w:w="90"/>
            </w:tcMar>
            <w:vAlign w:val="center"/>
          </w:tcPr>
          <w:p>
            <w:r>
              <w:rPr>
                <w:b w:val="false"/>
                <w:bCs w:val="false"/>
                <w:sz w:val="18"/>
                <w:szCs w:val="18"/>
              </w:rPr>
              <w:t xml:space="preserve">ouvert dès que le capot est soulevé</w:t>
            </w:r>
          </w:p>
        </w:tc>
      </w:tr>
      <w:tr>
        <w:trPr>
          <w:cantSplit w:val="false"/>
          <w:tblHeader w:val="false"/>
        </w:trPr>
        <w:tc>
          <w:tcPr>
            <w:tcW w:type="dxa" w:w="900"/>
            <w:shd w:fill="F2F2F2" w:val="clear"/>
            <w:tcMar>
              <w:top w:type="dxa" w:w="90"/>
              <w:left w:type="dxa" w:w="90"/>
              <w:bottom w:type="dxa" w:w="90"/>
              <w:right w:type="dxa" w:w="90"/>
            </w:tcMar>
            <w:vAlign w:val="center"/>
          </w:tcPr>
          <w:p>
            <w:r>
              <w:rPr>
                <w:b w:val="false"/>
                <w:bCs w:val="false"/>
                <w:sz w:val="18"/>
                <w:szCs w:val="18"/>
              </w:rPr>
              <w:t xml:space="preserve">5</w:t>
            </w:r>
          </w:p>
        </w:tc>
        <w:tc>
          <w:tcPr>
            <w:tcW w:type="dxa" w:w="4700"/>
            <w:tcMar>
              <w:top w:type="dxa" w:w="90"/>
              <w:left w:type="dxa" w:w="90"/>
              <w:bottom w:type="dxa" w:w="90"/>
              <w:right w:type="dxa" w:w="90"/>
            </w:tcMar>
            <w:vAlign w:val="center"/>
          </w:tcPr>
          <w:p>
            <w:r>
              <w:rPr>
                <w:b w:val="false"/>
                <w:bCs w:val="false"/>
                <w:sz w:val="18"/>
                <w:szCs w:val="18"/>
              </w:rPr>
              <w:t xml:space="preserve">Pont diviseur sur la batterie</w:t>
            </w:r>
          </w:p>
        </w:tc>
        <w:tc>
          <w:tcPr>
            <w:tcW w:type="dxa" w:w="4600"/>
            <w:tcMar>
              <w:top w:type="dxa" w:w="90"/>
              <w:left w:type="dxa" w:w="90"/>
              <w:bottom w:type="dxa" w:w="90"/>
              <w:right w:type="dxa" w:w="90"/>
            </w:tcMar>
            <w:vAlign w:val="center"/>
          </w:tcPr>
          <w:p>
            <w:r>
              <w:rPr>
                <w:b w:val="false"/>
                <w:bCs w:val="false"/>
                <w:sz w:val="18"/>
                <w:szCs w:val="18"/>
              </w:rPr>
              <w:t xml:space="preserve">ramène la tension batterie sur une entrée analogique</w:t>
            </w:r>
          </w:p>
        </w:tc>
      </w:tr>
      <w:tr>
        <w:trPr>
          <w:cantSplit w:val="false"/>
          <w:tblHeader w:val="false"/>
        </w:trPr>
        <w:tc>
          <w:tcPr>
            <w:tcW w:type="dxa" w:w="900"/>
            <w:shd w:fill="F2F2F2" w:val="clear"/>
            <w:tcMar>
              <w:top w:type="dxa" w:w="90"/>
              <w:left w:type="dxa" w:w="90"/>
              <w:bottom w:type="dxa" w:w="90"/>
              <w:right w:type="dxa" w:w="90"/>
            </w:tcMar>
            <w:vAlign w:val="center"/>
          </w:tcPr>
          <w:p>
            <w:r>
              <w:rPr>
                <w:b w:val="false"/>
                <w:bCs w:val="false"/>
                <w:sz w:val="18"/>
                <w:szCs w:val="18"/>
              </w:rPr>
              <w:t xml:space="preserve">6</w:t>
            </w:r>
          </w:p>
        </w:tc>
        <w:tc>
          <w:tcPr>
            <w:tcW w:type="dxa" w:w="4700"/>
            <w:tcMar>
              <w:top w:type="dxa" w:w="90"/>
              <w:left w:type="dxa" w:w="90"/>
              <w:bottom w:type="dxa" w:w="90"/>
              <w:right w:type="dxa" w:w="90"/>
            </w:tcMar>
            <w:vAlign w:val="center"/>
          </w:tcPr>
          <w:p>
            <w:r>
              <w:rPr>
                <w:b w:val="false"/>
                <w:bCs w:val="false"/>
                <w:sz w:val="18"/>
                <w:szCs w:val="18"/>
              </w:rPr>
              <w:t xml:space="preserve">Carte de commande à microcontrôleur</w:t>
            </w:r>
          </w:p>
        </w:tc>
        <w:tc>
          <w:tcPr>
            <w:tcW w:type="dxa" w:w="4600"/>
            <w:tcMar>
              <w:top w:type="dxa" w:w="90"/>
              <w:left w:type="dxa" w:w="90"/>
              <w:bottom w:type="dxa" w:w="90"/>
              <w:right w:type="dxa" w:w="90"/>
            </w:tcMar>
            <w:vAlign w:val="center"/>
          </w:tcPr>
          <w:p>
            <w:r>
              <w:rPr>
                <w:b w:val="false"/>
                <w:bCs w:val="false"/>
                <w:sz w:val="18"/>
                <w:szCs w:val="18"/>
              </w:rPr>
              <w:t xml:space="preserve">compare, temporise, mémorise les 30 derniers cycles</w:t>
            </w:r>
          </w:p>
        </w:tc>
      </w:tr>
      <w:tr>
        <w:trPr>
          <w:cantSplit w:val="false"/>
          <w:tblHeader w:val="false"/>
        </w:trPr>
        <w:tc>
          <w:tcPr>
            <w:tcW w:type="dxa" w:w="900"/>
            <w:shd w:fill="F2F2F2" w:val="clear"/>
            <w:tcMar>
              <w:top w:type="dxa" w:w="90"/>
              <w:left w:type="dxa" w:w="90"/>
              <w:bottom w:type="dxa" w:w="90"/>
              <w:right w:type="dxa" w:w="90"/>
            </w:tcMar>
            <w:vAlign w:val="center"/>
          </w:tcPr>
          <w:p>
            <w:r>
              <w:rPr>
                <w:b w:val="false"/>
                <w:bCs w:val="false"/>
                <w:sz w:val="18"/>
                <w:szCs w:val="18"/>
              </w:rPr>
              <w:t xml:space="preserve">7</w:t>
            </w:r>
          </w:p>
        </w:tc>
        <w:tc>
          <w:tcPr>
            <w:tcW w:type="dxa" w:w="4700"/>
            <w:tcMar>
              <w:top w:type="dxa" w:w="90"/>
              <w:left w:type="dxa" w:w="90"/>
              <w:bottom w:type="dxa" w:w="90"/>
              <w:right w:type="dxa" w:w="90"/>
            </w:tcMar>
            <w:vAlign w:val="center"/>
          </w:tcPr>
          <w:p>
            <w:r>
              <w:rPr>
                <w:b w:val="false"/>
                <w:bCs w:val="false"/>
                <w:sz w:val="18"/>
                <w:szCs w:val="18"/>
              </w:rPr>
              <w:t xml:space="preserve">Modem cellulaire quadribande + carte SIM</w:t>
            </w:r>
          </w:p>
        </w:tc>
        <w:tc>
          <w:tcPr>
            <w:tcW w:type="dxa" w:w="4600"/>
            <w:tcMar>
              <w:top w:type="dxa" w:w="90"/>
              <w:left w:type="dxa" w:w="90"/>
              <w:bottom w:type="dxa" w:w="90"/>
              <w:right w:type="dxa" w:w="90"/>
            </w:tcMar>
            <w:vAlign w:val="center"/>
          </w:tcPr>
          <w:p>
            <w:r>
              <w:rPr>
                <w:b w:val="false"/>
                <w:bCs w:val="false"/>
                <w:sz w:val="18"/>
                <w:szCs w:val="18"/>
              </w:rPr>
              <w:t xml:space="preserve">émet vers la plateforme du service de collecte</w:t>
            </w:r>
          </w:p>
        </w:tc>
      </w:tr>
      <w:tr>
        <w:trPr>
          <w:cantSplit w:val="false"/>
          <w:tblHeader w:val="false"/>
        </w:trPr>
        <w:tc>
          <w:tcPr>
            <w:tcW w:type="dxa" w:w="900"/>
            <w:shd w:fill="F2F2F2" w:val="clear"/>
            <w:tcMar>
              <w:top w:type="dxa" w:w="90"/>
              <w:left w:type="dxa" w:w="90"/>
              <w:bottom w:type="dxa" w:w="90"/>
              <w:right w:type="dxa" w:w="90"/>
            </w:tcMar>
            <w:vAlign w:val="center"/>
          </w:tcPr>
          <w:p>
            <w:r>
              <w:rPr>
                <w:b w:val="false"/>
                <w:bCs w:val="false"/>
                <w:sz w:val="18"/>
                <w:szCs w:val="18"/>
              </w:rPr>
              <w:t xml:space="preserve">8</w:t>
            </w:r>
          </w:p>
        </w:tc>
        <w:tc>
          <w:tcPr>
            <w:tcW w:type="dxa" w:w="4700"/>
            <w:tcMar>
              <w:top w:type="dxa" w:w="90"/>
              <w:left w:type="dxa" w:w="90"/>
              <w:bottom w:type="dxa" w:w="90"/>
              <w:right w:type="dxa" w:w="90"/>
            </w:tcMar>
            <w:vAlign w:val="center"/>
          </w:tcPr>
          <w:p>
            <w:r>
              <w:rPr>
                <w:b w:val="false"/>
                <w:bCs w:val="false"/>
                <w:sz w:val="18"/>
                <w:szCs w:val="18"/>
              </w:rPr>
              <w:t xml:space="preserve">Voyant bicolore en façade</w:t>
            </w:r>
          </w:p>
        </w:tc>
        <w:tc>
          <w:tcPr>
            <w:tcW w:type="dxa" w:w="4600"/>
            <w:tcMar>
              <w:top w:type="dxa" w:w="90"/>
              <w:left w:type="dxa" w:w="90"/>
              <w:bottom w:type="dxa" w:w="90"/>
              <w:right w:type="dxa" w:w="90"/>
            </w:tcMar>
            <w:vAlign w:val="center"/>
          </w:tcPr>
          <w:p>
            <w:r>
              <w:rPr>
                <w:b w:val="false"/>
                <w:bCs w:val="false"/>
                <w:sz w:val="18"/>
                <w:szCs w:val="18"/>
              </w:rPr>
              <w:t xml:space="preserve">vert : disponible / rouge : plein</w:t>
            </w:r>
          </w:p>
        </w:tc>
      </w:tr>
      <w:tr>
        <w:trPr>
          <w:cantSplit w:val="false"/>
          <w:tblHeader w:val="false"/>
        </w:trPr>
        <w:tc>
          <w:tcPr>
            <w:tcW w:type="dxa" w:w="900"/>
            <w:shd w:fill="F2F2F2" w:val="clear"/>
            <w:tcMar>
              <w:top w:type="dxa" w:w="90"/>
              <w:left w:type="dxa" w:w="90"/>
              <w:bottom w:type="dxa" w:w="90"/>
              <w:right w:type="dxa" w:w="90"/>
            </w:tcMar>
            <w:vAlign w:val="center"/>
          </w:tcPr>
          <w:p>
            <w:r>
              <w:rPr>
                <w:b w:val="false"/>
                <w:bCs w:val="false"/>
                <w:sz w:val="18"/>
                <w:szCs w:val="18"/>
              </w:rPr>
              <w:t xml:space="preserve">9</w:t>
            </w:r>
          </w:p>
        </w:tc>
        <w:tc>
          <w:tcPr>
            <w:tcW w:type="dxa" w:w="4700"/>
            <w:tcMar>
              <w:top w:type="dxa" w:w="90"/>
              <w:left w:type="dxa" w:w="90"/>
              <w:bottom w:type="dxa" w:w="90"/>
              <w:right w:type="dxa" w:w="90"/>
            </w:tcMar>
            <w:vAlign w:val="center"/>
          </w:tcPr>
          <w:p>
            <w:r>
              <w:rPr>
                <w:b w:val="false"/>
                <w:bCs w:val="false"/>
                <w:sz w:val="18"/>
                <w:szCs w:val="18"/>
              </w:rPr>
              <w:t xml:space="preserve">Sortie de commande du relais de puissance</w:t>
            </w:r>
          </w:p>
        </w:tc>
        <w:tc>
          <w:tcPr>
            <w:tcW w:type="dxa" w:w="4600"/>
            <w:tcMar>
              <w:top w:type="dxa" w:w="90"/>
              <w:left w:type="dxa" w:w="90"/>
              <w:bottom w:type="dxa" w:w="90"/>
              <w:right w:type="dxa" w:w="90"/>
            </w:tcMar>
            <w:vAlign w:val="center"/>
          </w:tcPr>
          <w:p>
            <w:r>
              <w:rPr>
                <w:b w:val="false"/>
                <w:bCs w:val="false"/>
                <w:sz w:val="18"/>
                <w:szCs w:val="18"/>
              </w:rPr>
              <w:t xml:space="preserve">signal 5 V issu de la carte</w:t>
            </w:r>
          </w:p>
        </w:tc>
      </w:tr>
      <w:tr>
        <w:trPr>
          <w:cantSplit w:val="false"/>
          <w:tblHeader w:val="false"/>
        </w:trPr>
        <w:tc>
          <w:tcPr>
            <w:tcW w:type="dxa" w:w="900"/>
            <w:shd w:fill="F2F2F2" w:val="clear"/>
            <w:tcMar>
              <w:top w:type="dxa" w:w="90"/>
              <w:left w:type="dxa" w:w="90"/>
              <w:bottom w:type="dxa" w:w="90"/>
              <w:right w:type="dxa" w:w="90"/>
            </w:tcMar>
            <w:vAlign w:val="center"/>
          </w:tcPr>
          <w:p>
            <w:r>
              <w:rPr>
                <w:b w:val="false"/>
                <w:bCs w:val="false"/>
                <w:sz w:val="18"/>
                <w:szCs w:val="18"/>
              </w:rPr>
              <w:t xml:space="preserve">10</w:t>
            </w:r>
          </w:p>
        </w:tc>
        <w:tc>
          <w:tcPr>
            <w:tcW w:type="dxa" w:w="4700"/>
            <w:tcMar>
              <w:top w:type="dxa" w:w="90"/>
              <w:left w:type="dxa" w:w="90"/>
              <w:bottom w:type="dxa" w:w="90"/>
              <w:right w:type="dxa" w:w="90"/>
            </w:tcMar>
            <w:vAlign w:val="center"/>
          </w:tcPr>
          <w:p>
            <w:r>
              <w:rPr>
                <w:b w:val="false"/>
                <w:bCs w:val="false"/>
                <w:sz w:val="18"/>
                <w:szCs w:val="18"/>
              </w:rPr>
              <w:t xml:space="preserve">Motoréducteur 12 V du vérin de compaction</w:t>
            </w:r>
          </w:p>
        </w:tc>
        <w:tc>
          <w:tcPr>
            <w:tcW w:type="dxa" w:w="4600"/>
            <w:tcMar>
              <w:top w:type="dxa" w:w="90"/>
              <w:left w:type="dxa" w:w="90"/>
              <w:bottom w:type="dxa" w:w="90"/>
              <w:right w:type="dxa" w:w="90"/>
            </w:tcMar>
            <w:vAlign w:val="center"/>
          </w:tcPr>
          <w:p>
            <w:r>
              <w:rPr>
                <w:b w:val="false"/>
                <w:bCs w:val="false"/>
                <w:sz w:val="18"/>
                <w:szCs w:val="18"/>
              </w:rPr>
              <w:t xml:space="preserve">couple 40 N·m, alimenté par le relais</w:t>
            </w:r>
          </w:p>
        </w:tc>
      </w:tr>
      <w:tr>
        <w:trPr>
          <w:cantSplit w:val="false"/>
          <w:tblHeader w:val="false"/>
        </w:trPr>
        <w:tc>
          <w:tcPr>
            <w:tcW w:type="dxa" w:w="900"/>
            <w:shd w:fill="F2F2F2" w:val="clear"/>
            <w:tcMar>
              <w:top w:type="dxa" w:w="90"/>
              <w:left w:type="dxa" w:w="90"/>
              <w:bottom w:type="dxa" w:w="90"/>
              <w:right w:type="dxa" w:w="90"/>
            </w:tcMar>
            <w:vAlign w:val="center"/>
          </w:tcPr>
          <w:p>
            <w:r>
              <w:rPr>
                <w:b w:val="false"/>
                <w:bCs w:val="false"/>
                <w:sz w:val="18"/>
                <w:szCs w:val="18"/>
              </w:rPr>
              <w:t xml:space="preserve">11</w:t>
            </w:r>
          </w:p>
        </w:tc>
        <w:tc>
          <w:tcPr>
            <w:tcW w:type="dxa" w:w="4700"/>
            <w:tcMar>
              <w:top w:type="dxa" w:w="90"/>
              <w:left w:type="dxa" w:w="90"/>
              <w:bottom w:type="dxa" w:w="90"/>
              <w:right w:type="dxa" w:w="90"/>
            </w:tcMar>
            <w:vAlign w:val="center"/>
          </w:tcPr>
          <w:p>
            <w:r>
              <w:rPr>
                <w:b w:val="false"/>
                <w:bCs w:val="false"/>
                <w:sz w:val="18"/>
                <w:szCs w:val="18"/>
              </w:rPr>
              <w:t xml:space="preserve">Plateau de compaction et sa timonerie</w:t>
            </w:r>
          </w:p>
        </w:tc>
        <w:tc>
          <w:tcPr>
            <w:tcW w:type="dxa" w:w="4600"/>
            <w:tcMar>
              <w:top w:type="dxa" w:w="90"/>
              <w:left w:type="dxa" w:w="90"/>
              <w:bottom w:type="dxa" w:w="90"/>
              <w:right w:type="dxa" w:w="90"/>
            </w:tcMar>
            <w:vAlign w:val="center"/>
          </w:tcPr>
          <w:p>
            <w:r>
              <w:rPr>
                <w:b w:val="false"/>
                <w:bCs w:val="false"/>
                <w:sz w:val="18"/>
                <w:szCs w:val="18"/>
              </w:rPr>
              <w:t xml:space="preserve">course 60 cm</w:t>
            </w:r>
          </w:p>
        </w:tc>
      </w:tr>
      <w:tr>
        <w:trPr>
          <w:cantSplit w:val="false"/>
          <w:tblHeader w:val="false"/>
        </w:trPr>
        <w:tc>
          <w:tcPr>
            <w:tcW w:type="dxa" w:w="900"/>
            <w:shd w:fill="F2F2F2" w:val="clear"/>
            <w:tcMar>
              <w:top w:type="dxa" w:w="90"/>
              <w:left w:type="dxa" w:w="90"/>
              <w:bottom w:type="dxa" w:w="90"/>
              <w:right w:type="dxa" w:w="90"/>
            </w:tcMar>
            <w:vAlign w:val="center"/>
          </w:tcPr>
          <w:p>
            <w:r>
              <w:rPr>
                <w:b w:val="false"/>
                <w:bCs w:val="false"/>
                <w:sz w:val="18"/>
                <w:szCs w:val="18"/>
              </w:rPr>
              <w:t xml:space="preserve">12</w:t>
            </w:r>
          </w:p>
        </w:tc>
        <w:tc>
          <w:tcPr>
            <w:tcW w:type="dxa" w:w="4700"/>
            <w:tcMar>
              <w:top w:type="dxa" w:w="90"/>
              <w:left w:type="dxa" w:w="90"/>
              <w:bottom w:type="dxa" w:w="90"/>
              <w:right w:type="dxa" w:w="90"/>
            </w:tcMar>
            <w:vAlign w:val="center"/>
          </w:tcPr>
          <w:p>
            <w:r>
              <w:rPr>
                <w:b w:val="false"/>
                <w:bCs w:val="false"/>
                <w:sz w:val="18"/>
                <w:szCs w:val="18"/>
              </w:rPr>
              <w:t xml:space="preserve">Serrure à clé du capot</w:t>
            </w:r>
          </w:p>
        </w:tc>
        <w:tc>
          <w:tcPr>
            <w:tcW w:type="dxa" w:w="4600"/>
            <w:tcMar>
              <w:top w:type="dxa" w:w="90"/>
              <w:left w:type="dxa" w:w="90"/>
              <w:bottom w:type="dxa" w:w="90"/>
              <w:right w:type="dxa" w:w="90"/>
            </w:tcMar>
            <w:vAlign w:val="center"/>
          </w:tcPr>
          <w:p>
            <w:r>
              <w:rPr>
                <w:b w:val="false"/>
                <w:bCs w:val="false"/>
                <w:sz w:val="18"/>
                <w:szCs w:val="18"/>
              </w:rPr>
              <w:t xml:space="preserve">accès réservé aux agents</w:t>
            </w:r>
          </w:p>
        </w:tc>
      </w:tr>
    </w:tbl>
    <w:p>
      <w:pPr>
        <w:spacing w:after="120"/>
      </w:pPr>
      <w:r>
        <w:rPr>
          <w:i/>
          <w:iCs/>
          <w:sz w:val="19"/>
          <w:szCs w:val="19"/>
        </w:rPr>
        <w:t xml:space="preserve">Les composants sont donnés dans l'ordre du démontage, pas dans l'ordre des fonctions.</w:t>
      </w:r>
    </w:p>
    <w:sectPr>
      <w:footerReference w:type="default" r:id="rId7"/>
      <w:pgSz w:w="12240" w:h="15840"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space="6"/>
      </w:pBdr>
      <w:jc w:val="center"/>
    </w:pPr>
    <w:r>
      <w:rPr>
        <w:i/>
        <w:iCs/>
        <w:color w:val="888888"/>
        <w:sz w:val="15"/>
        <w:szCs w:val="15"/>
      </w:rPr>
      <w:t xml:space="preserve">Annexe (non imprimée) + poste du binôme   |   Comment un objet peut-il percevoir un danger, décider seul, et prévenir — sans personne derrière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b355fbe67b8e44d9b9c711119a5300d704fd9db4.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2026-08-05T09:28:24.865Z</dcterms:created>
  <dcterms:modified xsi:type="dcterms:W3CDTF">2026-08-05T09:28:24.865Z</dcterms:modified>
</cp:coreProperties>
</file>

<file path=docProps/custom.xml><?xml version="1.0" encoding="utf-8"?>
<Properties xmlns="http://schemas.openxmlformats.org/officeDocument/2006/custom-properties" xmlns:vt="http://schemas.openxmlformats.org/officeDocument/2006/docPropsVTypes"/>
</file>