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E7A46"/>
          <w:sz w:val="40"/>
          <w:szCs w:val="40"/>
        </w:rPr>
        <w:t xml:space="preserve">Annexe — Aspirateur robot (Binôme 3)</w:t>
      </w:r>
    </w:p>
    <w:p>
      <w:pPr>
        <w:pBdr>
          <w:bottom w:val="single" w:color="4ADE80" w:sz="6" w:space="8"/>
        </w:pBd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Terminale STI2D — Spécialité SIN — Séquence 1</w:t>
      </w:r>
    </w:p>
    <w:p>
      <w:pPr>
        <w:spacing w:after="140"/>
        <w:jc w:val="right"/>
      </w:pPr>
      <w:r>
        <w:rPr>
          <w:i/>
          <w:iCs/>
          <w:color w:val="888888"/>
          <w:sz w:val="16"/>
          <w:szCs w:val="16"/>
        </w:rPr>
        <w:t xml:space="preserve">Annexe — non imprimée — ouverte sur le poste du binôme</w:t>
      </w:r>
    </w:p>
    <w:p>
      <w:pPr>
        <w:pageBreakBefore/>
        <w:spacing w:after="100" w:before="240"/>
      </w:pPr>
      <w:r>
        <w:rPr>
          <w:b/>
          <w:bCs/>
          <w:color w:val="1E7A46"/>
          <w:sz w:val="28"/>
          <w:szCs w:val="28"/>
        </w:rPr>
        <w:t xml:space="preserve">Binôme 3 — Aspirateur robot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Présentation</w:t>
      </w:r>
    </w:p>
    <w:p>
      <w:pPr>
        <w:spacing w:after="120"/>
      </w:pPr>
      <w:r>
        <w:rPr>
          <w:sz w:val="19"/>
          <w:szCs w:val="19"/>
        </w:rPr>
        <w:t xml:space="preserve">Ce robot circule seul dans une pièce, contourne les obstacles, évite les marches d'escalier et regagne sa base de charge lorsque sa batterie faiblit. Il se pilote aussi à la télécommande.</w:t>
      </w:r>
    </w:p>
    <w:p>
      <w:pPr>
        <w:spacing w:after="140" w:before="140"/>
        <w:jc w:val="center"/>
      </w:pPr>
      <w:r>
        <w:drawing>
          <wp:inline distT="0" distB="0" distL="0" distR="0">
            <wp:extent cx="4381500" cy="2076450"/>
            <wp:effectExtent t="0" r="0" b="0" l="0"/>
            <wp:docPr id="3" name="Image 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Fonctionnement</w:t>
      </w:r>
    </w:p>
    <w:p>
      <w:pPr>
        <w:spacing w:after="120"/>
      </w:pPr>
      <w:r>
        <w:rPr>
          <w:sz w:val="19"/>
          <w:szCs w:val="19"/>
        </w:rPr>
        <w:t xml:space="preserve">Le robot avance jusqu'à ce qu'un choc ou un vide soit détecté, puis modifie sa trajectoire selon son algorithme de navigation. Le courant absorbé par la brosse est surveillé : une valeur anormale indique un blocage et provoque l'arrêt. La base émet un signal infrarouge que le robot suit pour se recharger.</w:t>
      </w:r>
    </w:p>
    <w:p>
      <w:pPr>
        <w:spacing w:after="80" w:before="150"/>
      </w:pPr>
      <w:r>
        <w:rPr>
          <w:b/>
          <w:bCs/>
          <w:color w:val="1E7A46"/>
          <w:sz w:val="22"/>
          <w:szCs w:val="22"/>
        </w:rPr>
        <w:t xml:space="preserve">Composants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700"/>
        <w:gridCol w:w="4600"/>
      </w:tblGrid>
      <w:tr>
        <w:trPr>
          <w:cantSplit w:val="false"/>
          <w:tblHeader w:val="false"/>
        </w:trPr>
        <w:tc>
          <w:tcPr>
            <w:tcW w:type="dxa" w:w="9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Repère</w:t>
            </w:r>
          </w:p>
        </w:tc>
        <w:tc>
          <w:tcPr>
            <w:tcW w:type="dxa" w:w="47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Désignation</w:t>
            </w:r>
          </w:p>
        </w:tc>
        <w:tc>
          <w:tcPr>
            <w:tcW w:type="dxa" w:w="4600"/>
            <w:shd w:fill="1E7A46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Caractéristique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Pare-chocs avant à deux contacts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gauche et droit, tout ou rien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Trois capteurs de vide infrarouges sous le châssis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portée 4 cm, détectent une marche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Récepteur infrarouge sur le dessus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reçoit la télécommande et le signal de la base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Shunt de mesure du courant de brosse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détection de blocage au-delà de 1,2 A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Microcontrôleur 32 bits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exécute l'algorithme de navigation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Mémoire flash de cartographie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conserve le plan de la pièce entre deux passages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7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Haut-parleur de signalisation et voyants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bips codés selon le défaut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Sorties de commande des deux moteurs de roue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signaux issus de la carte vers l'étage de puissance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Sortie de commande du moteur de brosse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signal issu de la carte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Deux moteurs de roue 6 V avec réducteur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vitesse maximale 0,3 m/s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11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Moteur de brosse rotative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3 000 tr/min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12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Batterie lithium-ion 14,4 V – 2,6 Ah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autonomie 90 minutes</w:t>
            </w:r>
          </w:p>
        </w:tc>
      </w:tr>
      <w:tr>
        <w:trPr>
          <w:cantSplit w:val="false"/>
          <w:tblHeader w:val="false"/>
        </w:trPr>
        <w:tc>
          <w:tcPr>
            <w:tcW w:type="dxa" w:w="900"/>
            <w:shd w:fill="F2F2F2" w:val="clear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13</w:t>
            </w:r>
          </w:p>
        </w:tc>
        <w:tc>
          <w:tcPr>
            <w:tcW w:type="dxa" w:w="4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Bac à poussière amovible</w:t>
            </w:r>
          </w:p>
        </w:tc>
        <w:tc>
          <w:tcPr>
            <w:tcW w:type="dxa" w:w="4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capacité 0,5 L, se vide à la main</w:t>
            </w:r>
          </w:p>
        </w:tc>
      </w:tr>
    </w:tbl>
    <w:p>
      <w:pPr>
        <w:spacing w:after="120"/>
      </w:pPr>
      <w:r>
        <w:rPr>
          <w:i/>
          <w:iCs/>
          <w:sz w:val="19"/>
          <w:szCs w:val="19"/>
        </w:rPr>
        <w:t xml:space="preserve">Les composants sont donnés dans l'ordre du démontage, pas dans l'ordre des fonctions.</w:t>
      </w:r>
    </w:p>
    <w:sectPr>
      <w:footerReference w:type="default" r:id="rId7"/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i/>
        <w:iCs/>
        <w:color w:val="888888"/>
        <w:sz w:val="15"/>
        <w:szCs w:val="15"/>
      </w:rPr>
      <w:t xml:space="preserve">Annexe (non imprimée) + poste du binôme   |   Comment un objet peut-il percevoir un danger, décider seul, et prévenir — sans personne derrière 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10" Type="http://schemas.openxmlformats.org/officeDocument/2006/relationships/image" Target="media/12c415b505256cc6238b3bf88eec1551f164da8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2026-08-05T09:28:24.865Z</dcterms:created>
  <dcterms:modified xsi:type="dcterms:W3CDTF">2026-08-05T09:28:24.865Z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