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E7A46"/>
          <w:sz w:val="40"/>
          <w:szCs w:val="40"/>
        </w:rPr>
        <w:t xml:space="preserve">Annexe — Énergiemètre connecté (Binôme 4)</w:t>
      </w:r>
    </w:p>
    <w:p>
      <w:pPr>
        <w:pBdr>
          <w:bottom w:val="single" w:color="4ADE80" w:sz="6" w:space="8"/>
        </w:pBdr>
        <w:spacing w:after="300"/>
        <w:jc w:val="center"/>
      </w:pPr>
      <w:r>
        <w:rPr>
          <w:i/>
          <w:iCs/>
          <w:color w:val="555555"/>
          <w:sz w:val="20"/>
          <w:szCs w:val="20"/>
        </w:rPr>
        <w:t xml:space="preserve">Terminale STI2D — Spécialité SIN — Séquence 1</w:t>
      </w:r>
    </w:p>
    <w:p>
      <w:pPr>
        <w:spacing w:after="140"/>
        <w:jc w:val="right"/>
      </w:pPr>
      <w:r>
        <w:rPr>
          <w:i/>
          <w:iCs/>
          <w:color w:val="888888"/>
          <w:sz w:val="16"/>
          <w:szCs w:val="16"/>
        </w:rPr>
        <w:t xml:space="preserve">Annexe — non imprimée — ouverte sur le poste du binôme</w:t>
      </w:r>
    </w:p>
    <w:p>
      <w:pPr>
        <w:pageBreakBefore/>
        <w:spacing w:after="100" w:before="240"/>
      </w:pPr>
      <w:r>
        <w:rPr>
          <w:b/>
          <w:bCs/>
          <w:color w:val="1E7A46"/>
          <w:sz w:val="28"/>
          <w:szCs w:val="28"/>
        </w:rPr>
        <w:t xml:space="preserve">Binôme 4 — Énergiemètre connecté</w:t>
      </w:r>
    </w:p>
    <w:p>
      <w:pPr>
        <w:spacing w:after="80" w:before="150"/>
      </w:pPr>
      <w:r>
        <w:rPr>
          <w:b/>
          <w:bCs/>
          <w:color w:val="1E7A46"/>
          <w:sz w:val="22"/>
          <w:szCs w:val="22"/>
        </w:rPr>
        <w:t xml:space="preserve">Présentation</w:t>
      </w:r>
    </w:p>
    <w:p>
      <w:pPr>
        <w:spacing w:after="120"/>
      </w:pPr>
      <w:r>
        <w:rPr>
          <w:sz w:val="19"/>
          <w:szCs w:val="19"/>
        </w:rPr>
        <w:t xml:space="preserve">Intercalé entre une prise murale et un appareil, ce boîtier mesure ce que l'appareil consomme et affiche la puissance instantanée. Une application sur téléphone en trace la courbe et cumule l'énergie consommée sur la journée.</w:t>
      </w:r>
    </w:p>
    <w:p>
      <w:pPr>
        <w:spacing w:after="140" w:before="140"/>
        <w:jc w:val="center"/>
      </w:pPr>
      <w:r>
        <w:drawing>
          <wp:inline distT="0" distB="0" distL="0" distR="0">
            <wp:extent cx="4381500" cy="2076450"/>
            <wp:effectExtent t="0" r="0" b="0" l="0"/>
            <wp:docPr id="4" name="Image 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381500" cy="2076450"/>
                    </a:xfrm>
                    <a:prstGeom prst="rect">
                      <a:avLst/>
                    </a:prstGeom>
                  </pic:spPr>
                </pic:pic>
              </a:graphicData>
            </a:graphic>
          </wp:inline>
        </w:drawing>
      </w:r>
    </w:p>
    <w:p>
      <w:pPr>
        <w:spacing w:after="80" w:before="150"/>
      </w:pPr>
      <w:r>
        <w:rPr>
          <w:b/>
          <w:bCs/>
          <w:color w:val="1E7A46"/>
          <w:sz w:val="22"/>
          <w:szCs w:val="22"/>
        </w:rPr>
        <w:t xml:space="preserve">Fonctionnement</w:t>
      </w:r>
    </w:p>
    <w:p>
      <w:pPr>
        <w:spacing w:after="120"/>
      </w:pPr>
      <w:r>
        <w:rPr>
          <w:sz w:val="19"/>
          <w:szCs w:val="19"/>
        </w:rPr>
        <w:t xml:space="preserve">Le courant est mesuré par un capteur à effet Hall, la tension par un pont diviseur. La carte calcule la puissance vingt fois par seconde, en déduit l'énergie cumulée, l'affiche localement et l'envoie au téléphone. Le boîtier ne commande rien : il observe.</w:t>
      </w:r>
    </w:p>
    <w:p>
      <w:pPr>
        <w:spacing w:after="80" w:before="150"/>
      </w:pPr>
      <w:r>
        <w:rPr>
          <w:b/>
          <w:bCs/>
          <w:color w:val="1E7A46"/>
          <w:sz w:val="22"/>
          <w:szCs w:val="22"/>
        </w:rPr>
        <w:t xml:space="preserve">Composants</w:t>
      </w:r>
    </w:p>
    <w:tbl>
      <w:tblPr>
        <w:tblW w:type="dxa" w:w="10200"/>
        <w:tblBorders>
          <w:top w:val="single" w:color="auto" w:sz="4"/>
          <w:left w:val="single" w:color="auto" w:sz="4"/>
          <w:bottom w:val="single" w:color="auto" w:sz="4"/>
          <w:right w:val="single" w:color="auto" w:sz="4"/>
          <w:insideH w:val="single" w:color="auto" w:sz="4"/>
          <w:insideV w:val="single" w:color="auto" w:sz="4"/>
        </w:tblBorders>
      </w:tblPr>
      <w:tblGrid>
        <w:gridCol w:w="900"/>
        <w:gridCol w:w="4700"/>
        <w:gridCol w:w="4600"/>
      </w:tblGrid>
      <w:tr>
        <w:trPr>
          <w:cantSplit w:val="false"/>
          <w:tblHeader w:val="false"/>
        </w:trPr>
        <w:tc>
          <w:tcPr>
            <w:tcW w:type="dxa" w:w="900"/>
            <w:shd w:fill="1E7A46" w:val="clear"/>
            <w:tcMar>
              <w:top w:type="dxa" w:w="90"/>
              <w:left w:type="dxa" w:w="90"/>
              <w:bottom w:type="dxa" w:w="90"/>
              <w:right w:type="dxa" w:w="90"/>
            </w:tcMar>
            <w:vAlign w:val="center"/>
          </w:tcPr>
          <w:p>
            <w:r>
              <w:rPr>
                <w:b/>
                <w:bCs/>
                <w:color w:val="FFFFFF"/>
                <w:sz w:val="18"/>
                <w:szCs w:val="18"/>
              </w:rPr>
              <w:t xml:space="preserve">Repère</w:t>
            </w:r>
          </w:p>
        </w:tc>
        <w:tc>
          <w:tcPr>
            <w:tcW w:type="dxa" w:w="4700"/>
            <w:shd w:fill="1E7A46" w:val="clear"/>
            <w:tcMar>
              <w:top w:type="dxa" w:w="90"/>
              <w:left w:type="dxa" w:w="90"/>
              <w:bottom w:type="dxa" w:w="90"/>
              <w:right w:type="dxa" w:w="90"/>
            </w:tcMar>
            <w:vAlign w:val="center"/>
          </w:tcPr>
          <w:p>
            <w:r>
              <w:rPr>
                <w:b/>
                <w:bCs/>
                <w:color w:val="FFFFFF"/>
                <w:sz w:val="18"/>
                <w:szCs w:val="18"/>
              </w:rPr>
              <w:t xml:space="preserve">Désignation</w:t>
            </w:r>
          </w:p>
        </w:tc>
        <w:tc>
          <w:tcPr>
            <w:tcW w:type="dxa" w:w="4600"/>
            <w:shd w:fill="1E7A46" w:val="clear"/>
            <w:tcMar>
              <w:top w:type="dxa" w:w="90"/>
              <w:left w:type="dxa" w:w="90"/>
              <w:bottom w:type="dxa" w:w="90"/>
              <w:right w:type="dxa" w:w="90"/>
            </w:tcMar>
            <w:vAlign w:val="center"/>
          </w:tcPr>
          <w:p>
            <w:r>
              <w:rPr>
                <w:b/>
                <w:bCs/>
                <w:color w:val="FFFFFF"/>
                <w:sz w:val="18"/>
                <w:szCs w:val="18"/>
              </w:rPr>
              <w:t xml:space="preserve">Caractéristique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1</w:t>
            </w:r>
          </w:p>
        </w:tc>
        <w:tc>
          <w:tcPr>
            <w:tcW w:type="dxa" w:w="4700"/>
            <w:tcMar>
              <w:top w:type="dxa" w:w="90"/>
              <w:left w:type="dxa" w:w="90"/>
              <w:bottom w:type="dxa" w:w="90"/>
              <w:right w:type="dxa" w:w="90"/>
            </w:tcMar>
            <w:vAlign w:val="center"/>
          </w:tcPr>
          <w:p>
            <w:r>
              <w:rPr>
                <w:b w:val="false"/>
                <w:bCs w:val="false"/>
                <w:sz w:val="18"/>
                <w:szCs w:val="18"/>
              </w:rPr>
              <w:t xml:space="preserve">Capteur de courant à effet Hall ACS711</w:t>
            </w:r>
          </w:p>
        </w:tc>
        <w:tc>
          <w:tcPr>
            <w:tcW w:type="dxa" w:w="4600"/>
            <w:tcMar>
              <w:top w:type="dxa" w:w="90"/>
              <w:left w:type="dxa" w:w="90"/>
              <w:bottom w:type="dxa" w:w="90"/>
              <w:right w:type="dxa" w:w="90"/>
            </w:tcMar>
            <w:vAlign w:val="center"/>
          </w:tcPr>
          <w:p>
            <w:r>
              <w:rPr>
                <w:b w:val="false"/>
                <w:bCs w:val="false"/>
                <w:sz w:val="18"/>
                <w:szCs w:val="18"/>
              </w:rPr>
              <w:t xml:space="preserve">plage ±25 A, sortie analogique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2</w:t>
            </w:r>
          </w:p>
        </w:tc>
        <w:tc>
          <w:tcPr>
            <w:tcW w:type="dxa" w:w="4700"/>
            <w:tcMar>
              <w:top w:type="dxa" w:w="90"/>
              <w:left w:type="dxa" w:w="90"/>
              <w:bottom w:type="dxa" w:w="90"/>
              <w:right w:type="dxa" w:w="90"/>
            </w:tcMar>
            <w:vAlign w:val="center"/>
          </w:tcPr>
          <w:p>
            <w:r>
              <w:rPr>
                <w:b w:val="false"/>
                <w:bCs w:val="false"/>
                <w:sz w:val="18"/>
                <w:szCs w:val="18"/>
              </w:rPr>
              <w:t xml:space="preserve">Pont diviseur de tension 230 V → 5 V</w:t>
            </w:r>
          </w:p>
        </w:tc>
        <w:tc>
          <w:tcPr>
            <w:tcW w:type="dxa" w:w="4600"/>
            <w:tcMar>
              <w:top w:type="dxa" w:w="90"/>
              <w:left w:type="dxa" w:w="90"/>
              <w:bottom w:type="dxa" w:w="90"/>
              <w:right w:type="dxa" w:w="90"/>
            </w:tcMar>
            <w:vAlign w:val="center"/>
          </w:tcPr>
          <w:p>
            <w:r>
              <w:rPr>
                <w:b w:val="false"/>
                <w:bCs w:val="false"/>
                <w:sz w:val="18"/>
                <w:szCs w:val="18"/>
              </w:rPr>
              <w:t xml:space="preserve">isolé par optocoupleur</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3</w:t>
            </w:r>
          </w:p>
        </w:tc>
        <w:tc>
          <w:tcPr>
            <w:tcW w:type="dxa" w:w="4700"/>
            <w:tcMar>
              <w:top w:type="dxa" w:w="90"/>
              <w:left w:type="dxa" w:w="90"/>
              <w:bottom w:type="dxa" w:w="90"/>
              <w:right w:type="dxa" w:w="90"/>
            </w:tcMar>
            <w:vAlign w:val="center"/>
          </w:tcPr>
          <w:p>
            <w:r>
              <w:rPr>
                <w:b w:val="false"/>
                <w:bCs w:val="false"/>
                <w:sz w:val="18"/>
                <w:szCs w:val="18"/>
              </w:rPr>
              <w:t xml:space="preserve">Arduino Nano</w:t>
            </w:r>
          </w:p>
        </w:tc>
        <w:tc>
          <w:tcPr>
            <w:tcW w:type="dxa" w:w="4600"/>
            <w:tcMar>
              <w:top w:type="dxa" w:w="90"/>
              <w:left w:type="dxa" w:w="90"/>
              <w:bottom w:type="dxa" w:w="90"/>
              <w:right w:type="dxa" w:w="90"/>
            </w:tcMar>
            <w:vAlign w:val="center"/>
          </w:tcPr>
          <w:p>
            <w:r>
              <w:rPr>
                <w:b w:val="false"/>
                <w:bCs w:val="false"/>
                <w:sz w:val="18"/>
                <w:szCs w:val="18"/>
              </w:rPr>
              <w:t xml:space="preserve">calcule la puissance et cumule l'énergie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4</w:t>
            </w:r>
          </w:p>
        </w:tc>
        <w:tc>
          <w:tcPr>
            <w:tcW w:type="dxa" w:w="4700"/>
            <w:tcMar>
              <w:top w:type="dxa" w:w="90"/>
              <w:left w:type="dxa" w:w="90"/>
              <w:bottom w:type="dxa" w:w="90"/>
              <w:right w:type="dxa" w:w="90"/>
            </w:tcMar>
            <w:vAlign w:val="center"/>
          </w:tcPr>
          <w:p>
            <w:r>
              <w:rPr>
                <w:b w:val="false"/>
                <w:bCs w:val="false"/>
                <w:sz w:val="18"/>
                <w:szCs w:val="18"/>
              </w:rPr>
              <w:t xml:space="preserve">Module Bluetooth HC-05</w:t>
            </w:r>
          </w:p>
        </w:tc>
        <w:tc>
          <w:tcPr>
            <w:tcW w:type="dxa" w:w="4600"/>
            <w:tcMar>
              <w:top w:type="dxa" w:w="90"/>
              <w:left w:type="dxa" w:w="90"/>
              <w:bottom w:type="dxa" w:w="90"/>
              <w:right w:type="dxa" w:w="90"/>
            </w:tcMar>
            <w:vAlign w:val="center"/>
          </w:tcPr>
          <w:p>
            <w:r>
              <w:rPr>
                <w:b w:val="false"/>
                <w:bCs w:val="false"/>
                <w:sz w:val="18"/>
                <w:szCs w:val="18"/>
              </w:rPr>
              <w:t xml:space="preserve">portée annoncée 10 m</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5</w:t>
            </w:r>
          </w:p>
        </w:tc>
        <w:tc>
          <w:tcPr>
            <w:tcW w:type="dxa" w:w="4700"/>
            <w:tcMar>
              <w:top w:type="dxa" w:w="90"/>
              <w:left w:type="dxa" w:w="90"/>
              <w:bottom w:type="dxa" w:w="90"/>
              <w:right w:type="dxa" w:w="90"/>
            </w:tcMar>
            <w:vAlign w:val="center"/>
          </w:tcPr>
          <w:p>
            <w:r>
              <w:rPr>
                <w:b w:val="false"/>
                <w:bCs w:val="false"/>
                <w:sz w:val="18"/>
                <w:szCs w:val="18"/>
              </w:rPr>
              <w:t xml:space="preserve">Afficheur LCD 2 × 16 caractères</w:t>
            </w:r>
          </w:p>
        </w:tc>
        <w:tc>
          <w:tcPr>
            <w:tcW w:type="dxa" w:w="4600"/>
            <w:tcMar>
              <w:top w:type="dxa" w:w="90"/>
              <w:left w:type="dxa" w:w="90"/>
              <w:bottom w:type="dxa" w:w="90"/>
              <w:right w:type="dxa" w:w="90"/>
            </w:tcMar>
            <w:vAlign w:val="center"/>
          </w:tcPr>
          <w:p>
            <w:r>
              <w:rPr>
                <w:b w:val="false"/>
                <w:bCs w:val="false"/>
                <w:sz w:val="18"/>
                <w:szCs w:val="18"/>
              </w:rPr>
              <w:t xml:space="preserve">affiche puissance et énergie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6</w:t>
            </w:r>
          </w:p>
        </w:tc>
        <w:tc>
          <w:tcPr>
            <w:tcW w:type="dxa" w:w="4700"/>
            <w:tcMar>
              <w:top w:type="dxa" w:w="90"/>
              <w:left w:type="dxa" w:w="90"/>
              <w:bottom w:type="dxa" w:w="90"/>
              <w:right w:type="dxa" w:w="90"/>
            </w:tcMar>
            <w:vAlign w:val="center"/>
          </w:tcPr>
          <w:p>
            <w:r>
              <w:rPr>
                <w:b w:val="false"/>
                <w:bCs w:val="false"/>
                <w:sz w:val="18"/>
                <w:szCs w:val="18"/>
              </w:rPr>
              <w:t xml:space="preserve">Bloc secteur 5 V intégré</w:t>
            </w:r>
          </w:p>
        </w:tc>
        <w:tc>
          <w:tcPr>
            <w:tcW w:type="dxa" w:w="4600"/>
            <w:tcMar>
              <w:top w:type="dxa" w:w="90"/>
              <w:left w:type="dxa" w:w="90"/>
              <w:bottom w:type="dxa" w:w="90"/>
              <w:right w:type="dxa" w:w="90"/>
            </w:tcMar>
            <w:vAlign w:val="center"/>
          </w:tcPr>
          <w:p>
            <w:r>
              <w:rPr>
                <w:b w:val="false"/>
                <w:bCs w:val="false"/>
                <w:sz w:val="18"/>
                <w:szCs w:val="18"/>
              </w:rPr>
              <w:t xml:space="preserve">alimente la carte et l'afficheur</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7</w:t>
            </w:r>
          </w:p>
        </w:tc>
        <w:tc>
          <w:tcPr>
            <w:tcW w:type="dxa" w:w="4700"/>
            <w:tcMar>
              <w:top w:type="dxa" w:w="90"/>
              <w:left w:type="dxa" w:w="90"/>
              <w:bottom w:type="dxa" w:w="90"/>
              <w:right w:type="dxa" w:w="90"/>
            </w:tcMar>
            <w:vAlign w:val="center"/>
          </w:tcPr>
          <w:p>
            <w:r>
              <w:rPr>
                <w:b w:val="false"/>
                <w:bCs w:val="false"/>
                <w:sz w:val="18"/>
                <w:szCs w:val="18"/>
              </w:rPr>
              <w:t xml:space="preserve">Boîtier et bornier de raccordement</w:t>
            </w:r>
          </w:p>
        </w:tc>
        <w:tc>
          <w:tcPr>
            <w:tcW w:type="dxa" w:w="4600"/>
            <w:tcMar>
              <w:top w:type="dxa" w:w="90"/>
              <w:left w:type="dxa" w:w="90"/>
              <w:bottom w:type="dxa" w:w="90"/>
              <w:right w:type="dxa" w:w="90"/>
            </w:tcMar>
            <w:vAlign w:val="center"/>
          </w:tcPr>
          <w:p>
            <w:r>
              <w:rPr>
                <w:b w:val="false"/>
                <w:bCs w:val="false"/>
                <w:sz w:val="18"/>
                <w:szCs w:val="18"/>
              </w:rPr>
              <w:t xml:space="preserve">prise femelle et fiche mâle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8</w:t>
            </w:r>
          </w:p>
        </w:tc>
        <w:tc>
          <w:tcPr>
            <w:tcW w:type="dxa" w:w="4700"/>
            <w:tcMar>
              <w:top w:type="dxa" w:w="90"/>
              <w:left w:type="dxa" w:w="90"/>
              <w:bottom w:type="dxa" w:w="90"/>
              <w:right w:type="dxa" w:w="90"/>
            </w:tcMar>
            <w:vAlign w:val="center"/>
          </w:tcPr>
          <w:p>
            <w:r>
              <w:rPr>
                <w:b w:val="false"/>
                <w:bCs w:val="false"/>
                <w:sz w:val="18"/>
                <w:szCs w:val="18"/>
              </w:rPr>
              <w:t xml:space="preserve">Application Android de suivi</w:t>
            </w:r>
          </w:p>
        </w:tc>
        <w:tc>
          <w:tcPr>
            <w:tcW w:type="dxa" w:w="4600"/>
            <w:tcMar>
              <w:top w:type="dxa" w:w="90"/>
              <w:left w:type="dxa" w:w="90"/>
              <w:bottom w:type="dxa" w:w="90"/>
              <w:right w:type="dxa" w:w="90"/>
            </w:tcMar>
            <w:vAlign w:val="center"/>
          </w:tcPr>
          <w:p>
            <w:r>
              <w:rPr>
                <w:b w:val="false"/>
                <w:bCs w:val="false"/>
                <w:sz w:val="18"/>
                <w:szCs w:val="18"/>
              </w:rPr>
              <w:t xml:space="preserve">installée sur le téléphone de l'utilisateur</w:t>
            </w:r>
          </w:p>
        </w:tc>
      </w:tr>
    </w:tbl>
    <w:p>
      <w:pPr>
        <w:spacing w:after="120"/>
      </w:pPr>
      <w:r>
        <w:rPr>
          <w:i/>
          <w:iCs/>
          <w:sz w:val="19"/>
          <w:szCs w:val="19"/>
        </w:rPr>
        <w:t xml:space="preserve">Les composants sont donnés dans l'ordre du démontage, pas dans l'ordre des fonctions.</w:t>
      </w:r>
    </w:p>
    <w:sectPr>
      <w:footerReference w:type="default" r:id="rId7"/>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i/>
        <w:iCs/>
        <w:color w:val="888888"/>
        <w:sz w:val="15"/>
        <w:szCs w:val="15"/>
      </w:rPr>
      <w:t xml:space="preserve">Annexe (non imprimée) + poste du binôme   |   Comment un objet peut-il percevoir un danger, décider seul, et prévenir — sans personne derrière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11" Type="http://schemas.openxmlformats.org/officeDocument/2006/relationships/image" Target="media/aabbbf331491d3e59b8250ed15147af5476c7a9c.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2026-08-05T09:28:24.865Z</dcterms:created>
  <dcterms:modified xsi:type="dcterms:W3CDTF">2026-08-05T09:28:24.865Z</dcterms:modified>
</cp:coreProperties>
</file>

<file path=docProps/custom.xml><?xml version="1.0" encoding="utf-8"?>
<Properties xmlns="http://schemas.openxmlformats.org/officeDocument/2006/custom-properties" xmlns:vt="http://schemas.openxmlformats.org/officeDocument/2006/docPropsVTypes"/>
</file>