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E7A46"/>
          <w:sz w:val="40"/>
          <w:szCs w:val="40"/>
        </w:rPr>
        <w:t xml:space="preserve">Annexe — Portail solaire (Binôme 5)</w:t>
      </w:r>
    </w:p>
    <w:p>
      <w:pPr>
        <w:pBdr>
          <w:bottom w:val="single" w:color="4ADE80" w:sz="6" w:space="8"/>
        </w:pBdr>
        <w:spacing w:after="300"/>
        <w:jc w:val="center"/>
      </w:pPr>
      <w:r>
        <w:rPr>
          <w:i/>
          <w:iCs/>
          <w:color w:val="555555"/>
          <w:sz w:val="20"/>
          <w:szCs w:val="20"/>
        </w:rPr>
        <w:t xml:space="preserve">Terminale STI2D — Spécialité SIN — Séquence 1</w:t>
      </w:r>
    </w:p>
    <w:p>
      <w:pPr>
        <w:spacing w:after="140"/>
        <w:jc w:val="right"/>
      </w:pPr>
      <w:r>
        <w:rPr>
          <w:i/>
          <w:iCs/>
          <w:color w:val="888888"/>
          <w:sz w:val="16"/>
          <w:szCs w:val="16"/>
        </w:rPr>
        <w:t xml:space="preserve">Annexe — non imprimée — ouverte sur le poste du binôme</w:t>
      </w:r>
    </w:p>
    <w:p>
      <w:pPr>
        <w:pageBreakBefore/>
        <w:spacing w:after="100" w:before="240"/>
      </w:pPr>
      <w:r>
        <w:rPr>
          <w:b/>
          <w:bCs/>
          <w:color w:val="1E7A46"/>
          <w:sz w:val="28"/>
          <w:szCs w:val="28"/>
        </w:rPr>
        <w:t xml:space="preserve">Binôme 5 — Portail solaire (portail à battants communicant)</w:t>
      </w:r>
    </w:p>
    <w:p>
      <w:pPr>
        <w:spacing w:after="80" w:before="150"/>
      </w:pPr>
      <w:r>
        <w:rPr>
          <w:b/>
          <w:bCs/>
          <w:color w:val="1E7A46"/>
          <w:sz w:val="22"/>
          <w:szCs w:val="22"/>
        </w:rPr>
        <w:t xml:space="preserve">Présentation</w:t>
      </w:r>
    </w:p>
    <w:p>
      <w:pPr>
        <w:spacing w:after="120"/>
      </w:pPr>
      <w:r>
        <w:rPr>
          <w:sz w:val="19"/>
          <w:szCs w:val="19"/>
        </w:rPr>
        <w:t xml:space="preserve">Portail à deux vantaux motorisés, alimenté par deux panneaux solaires (17 V, 4 W chacun), un par vantail. Chaque vantail est autonome : il embarque son propre moteur, sa propre batterie et son propre panneau solaire. Les deux vantaux communiquent entre eux par liaison radio pour rester synchronisés, et se pilotent chacun depuis une télécommande HF (433,92 MHz).</w:t>
      </w:r>
    </w:p>
    <w:p>
      <w:pPr>
        <w:spacing w:after="140" w:before="140"/>
        <w:jc w:val="center"/>
      </w:pPr>
      <w:r>
        <w:drawing>
          <wp:inline distT="0" distB="0" distL="0" distR="0">
            <wp:extent cx="4114800" cy="3086100"/>
            <wp:effectExtent t="0" r="0" b="0" l="0"/>
            <wp:docPr id="101" name="Portail solair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114800" cy="3086100"/>
                    </a:xfrm>
                    <a:prstGeom prst="rect">
                      <a:avLst/>
                    </a:prstGeom>
                  </pic:spPr>
                </pic:pic>
              </a:graphicData>
            </a:graphic>
          </wp:inline>
        </w:drawing>
      </w:r>
    </w:p>
    <w:p>
      <w:pPr>
        <w:spacing w:after="80" w:before="150"/>
      </w:pPr>
      <w:r>
        <w:rPr>
          <w:b/>
          <w:bCs/>
          <w:color w:val="1E7A46"/>
          <w:sz w:val="22"/>
          <w:szCs w:val="22"/>
        </w:rPr>
        <w:t xml:space="preserve">Fonctionnement</w:t>
      </w:r>
    </w:p>
    <w:p>
      <w:pPr>
        <w:spacing w:after="120"/>
      </w:pPr>
      <w:r>
        <w:rPr>
          <w:sz w:val="19"/>
          <w:szCs w:val="19"/>
        </w:rPr>
        <w:t xml:space="preserve">Une cellule photoélectrique sur chaque vantail détecte un obstacle sur le passage et déclenche la réouverture. Une jauge de contrainte de 200 N, placée sur la bielle qui relie le moteur au vantail, mesure l'effort transmis et arrête le mouvement si le portail rencontre une résistance anormale. Un microcontrôleur PIC pilote chaque vantail et échange par radio avec l'autre pour rester synchronisé.</w:t>
      </w:r>
    </w:p>
    <w:p>
      <w:pPr>
        <w:spacing w:after="80" w:before="150"/>
      </w:pPr>
      <w:r>
        <w:rPr>
          <w:b/>
          <w:bCs/>
          <w:color w:val="1E7A46"/>
          <w:sz w:val="22"/>
          <w:szCs w:val="22"/>
        </w:rPr>
        <w:t xml:space="preserve">Composants</w:t>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900"/>
        <w:gridCol w:w="4700"/>
        <w:gridCol w:w="4600"/>
      </w:tblGrid>
      <w:tr>
        <w:trPr>
          <w:cantSplit w:val="false"/>
          <w:tblHeader w:val="false"/>
        </w:trPr>
        <w:tc>
          <w:tcPr>
            <w:tcW w:type="dxa" w:w="900"/>
            <w:shd w:fill="1E7A46" w:val="clear"/>
            <w:tcMar>
              <w:top w:type="dxa" w:w="90"/>
              <w:left w:type="dxa" w:w="90"/>
              <w:bottom w:type="dxa" w:w="90"/>
              <w:right w:type="dxa" w:w="90"/>
            </w:tcMar>
            <w:vAlign w:val="center"/>
          </w:tcPr>
          <w:p>
            <w:r>
              <w:rPr>
                <w:b/>
                <w:bCs/>
                <w:color w:val="FFFFFF"/>
                <w:sz w:val="18"/>
                <w:szCs w:val="18"/>
              </w:rPr>
              <w:t xml:space="preserve">Repère</w:t>
            </w:r>
          </w:p>
        </w:tc>
        <w:tc>
          <w:tcPr>
            <w:tcW w:type="dxa" w:w="4700"/>
            <w:shd w:fill="1E7A46" w:val="clear"/>
            <w:tcMar>
              <w:top w:type="dxa" w:w="90"/>
              <w:left w:type="dxa" w:w="90"/>
              <w:bottom w:type="dxa" w:w="90"/>
              <w:right w:type="dxa" w:w="90"/>
            </w:tcMar>
            <w:vAlign w:val="center"/>
          </w:tcPr>
          <w:p>
            <w:r>
              <w:rPr>
                <w:b/>
                <w:bCs/>
                <w:color w:val="FFFFFF"/>
                <w:sz w:val="18"/>
                <w:szCs w:val="18"/>
              </w:rPr>
              <w:t xml:space="preserve">Désignation</w:t>
            </w:r>
          </w:p>
        </w:tc>
        <w:tc>
          <w:tcPr>
            <w:tcW w:type="dxa" w:w="4600"/>
            <w:shd w:fill="1E7A46" w:val="clear"/>
            <w:tcMar>
              <w:top w:type="dxa" w:w="90"/>
              <w:left w:type="dxa" w:w="90"/>
              <w:bottom w:type="dxa" w:w="90"/>
              <w:right w:type="dxa" w:w="90"/>
            </w:tcMar>
            <w:vAlign w:val="center"/>
          </w:tcPr>
          <w:p>
            <w:r>
              <w:rPr>
                <w:b/>
                <w:bCs/>
                <w:color w:val="FFFFFF"/>
                <w:sz w:val="18"/>
                <w:szCs w:val="18"/>
              </w:rPr>
              <w:t xml:space="preserve">Caractéristique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w:t>
            </w:r>
          </w:p>
        </w:tc>
        <w:tc>
          <w:tcPr>
            <w:tcW w:type="dxa" w:w="4700"/>
            <w:tcMar>
              <w:top w:type="dxa" w:w="90"/>
              <w:left w:type="dxa" w:w="90"/>
              <w:bottom w:type="dxa" w:w="90"/>
              <w:right w:type="dxa" w:w="90"/>
            </w:tcMar>
            <w:vAlign w:val="center"/>
          </w:tcPr>
          <w:p>
            <w:r>
              <w:rPr>
                <w:b w:val="false"/>
                <w:bCs w:val="false"/>
                <w:sz w:val="18"/>
                <w:szCs w:val="18"/>
              </w:rPr>
              <w:t xml:space="preserve">Panneau photovoltaïque 17 V / 4 W (par vantail)</w:t>
            </w:r>
          </w:p>
        </w:tc>
        <w:tc>
          <w:tcPr>
            <w:tcW w:type="dxa" w:w="4600"/>
            <w:tcMar>
              <w:top w:type="dxa" w:w="90"/>
              <w:left w:type="dxa" w:w="90"/>
              <w:bottom w:type="dxa" w:w="90"/>
              <w:right w:type="dxa" w:w="90"/>
            </w:tcMar>
            <w:vAlign w:val="center"/>
          </w:tcPr>
          <w:p>
            <w:r>
              <w:rPr>
                <w:b w:val="false"/>
                <w:bCs w:val="false"/>
                <w:sz w:val="18"/>
                <w:szCs w:val="18"/>
              </w:rPr>
              <w:t xml:space="preserve">recharge la batterie de chaque vantail</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2</w:t>
            </w:r>
          </w:p>
        </w:tc>
        <w:tc>
          <w:tcPr>
            <w:tcW w:type="dxa" w:w="4700"/>
            <w:tcMar>
              <w:top w:type="dxa" w:w="90"/>
              <w:left w:type="dxa" w:w="90"/>
              <w:bottom w:type="dxa" w:w="90"/>
              <w:right w:type="dxa" w:w="90"/>
            </w:tcMar>
            <w:vAlign w:val="center"/>
          </w:tcPr>
          <w:p>
            <w:r>
              <w:rPr>
                <w:b w:val="false"/>
                <w:bCs w:val="false"/>
                <w:sz w:val="18"/>
                <w:szCs w:val="18"/>
              </w:rPr>
              <w:t xml:space="preserve">Batterie (par vantail)</w:t>
            </w:r>
          </w:p>
        </w:tc>
        <w:tc>
          <w:tcPr>
            <w:tcW w:type="dxa" w:w="4600"/>
            <w:tcMar>
              <w:top w:type="dxa" w:w="90"/>
              <w:left w:type="dxa" w:w="90"/>
              <w:bottom w:type="dxa" w:w="90"/>
              <w:right w:type="dxa" w:w="90"/>
            </w:tcMar>
            <w:vAlign w:val="center"/>
          </w:tcPr>
          <w:p>
            <w:r>
              <w:rPr>
                <w:b w:val="false"/>
                <w:bCs w:val="false"/>
                <w:sz w:val="18"/>
                <w:szCs w:val="18"/>
              </w:rPr>
              <w:t xml:space="preserve">alimente le moteur et l'électronique hors soleil</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3</w:t>
            </w:r>
          </w:p>
        </w:tc>
        <w:tc>
          <w:tcPr>
            <w:tcW w:type="dxa" w:w="4700"/>
            <w:tcMar>
              <w:top w:type="dxa" w:w="90"/>
              <w:left w:type="dxa" w:w="90"/>
              <w:bottom w:type="dxa" w:w="90"/>
              <w:right w:type="dxa" w:w="90"/>
            </w:tcMar>
            <w:vAlign w:val="center"/>
          </w:tcPr>
          <w:p>
            <w:r>
              <w:rPr>
                <w:b w:val="false"/>
                <w:bCs w:val="false"/>
                <w:sz w:val="18"/>
                <w:szCs w:val="18"/>
              </w:rPr>
              <w:t xml:space="preserve">Moteur électrique de vantail</w:t>
            </w:r>
          </w:p>
        </w:tc>
        <w:tc>
          <w:tcPr>
            <w:tcW w:type="dxa" w:w="4600"/>
            <w:tcMar>
              <w:top w:type="dxa" w:w="90"/>
              <w:left w:type="dxa" w:w="90"/>
              <w:bottom w:type="dxa" w:w="90"/>
              <w:right w:type="dxa" w:w="90"/>
            </w:tcMar>
            <w:vAlign w:val="center"/>
          </w:tcPr>
          <w:p>
            <w:r>
              <w:rPr>
                <w:b w:val="false"/>
                <w:bCs w:val="false"/>
                <w:sz w:val="18"/>
                <w:szCs w:val="18"/>
              </w:rPr>
              <w:t xml:space="preserve">entraîne le bras via une bielle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4</w:t>
            </w:r>
          </w:p>
        </w:tc>
        <w:tc>
          <w:tcPr>
            <w:tcW w:type="dxa" w:w="4700"/>
            <w:tcMar>
              <w:top w:type="dxa" w:w="90"/>
              <w:left w:type="dxa" w:w="90"/>
              <w:bottom w:type="dxa" w:w="90"/>
              <w:right w:type="dxa" w:w="90"/>
            </w:tcMar>
            <w:vAlign w:val="center"/>
          </w:tcPr>
          <w:p>
            <w:r>
              <w:rPr>
                <w:b w:val="false"/>
                <w:bCs w:val="false"/>
                <w:sz w:val="18"/>
                <w:szCs w:val="18"/>
              </w:rPr>
              <w:t xml:space="preserve">Bielle articulée</w:t>
            </w:r>
          </w:p>
        </w:tc>
        <w:tc>
          <w:tcPr>
            <w:tcW w:type="dxa" w:w="4600"/>
            <w:tcMar>
              <w:top w:type="dxa" w:w="90"/>
              <w:left w:type="dxa" w:w="90"/>
              <w:bottom w:type="dxa" w:w="90"/>
              <w:right w:type="dxa" w:w="90"/>
            </w:tcMar>
            <w:vAlign w:val="center"/>
          </w:tcPr>
          <w:p>
            <w:r>
              <w:rPr>
                <w:b w:val="false"/>
                <w:bCs w:val="false"/>
                <w:sz w:val="18"/>
                <w:szCs w:val="18"/>
              </w:rPr>
              <w:t xml:space="preserve">transmet le mouvement du moteur au vantail</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5</w:t>
            </w:r>
          </w:p>
        </w:tc>
        <w:tc>
          <w:tcPr>
            <w:tcW w:type="dxa" w:w="4700"/>
            <w:tcMar>
              <w:top w:type="dxa" w:w="90"/>
              <w:left w:type="dxa" w:w="90"/>
              <w:bottom w:type="dxa" w:w="90"/>
              <w:right w:type="dxa" w:w="90"/>
            </w:tcMar>
            <w:vAlign w:val="center"/>
          </w:tcPr>
          <w:p>
            <w:r>
              <w:rPr>
                <w:b w:val="false"/>
                <w:bCs w:val="false"/>
                <w:sz w:val="18"/>
                <w:szCs w:val="18"/>
              </w:rPr>
              <w:t xml:space="preserve">Jauge de contrainte 200 N sur la bielle</w:t>
            </w:r>
          </w:p>
        </w:tc>
        <w:tc>
          <w:tcPr>
            <w:tcW w:type="dxa" w:w="4600"/>
            <w:tcMar>
              <w:top w:type="dxa" w:w="90"/>
              <w:left w:type="dxa" w:w="90"/>
              <w:bottom w:type="dxa" w:w="90"/>
              <w:right w:type="dxa" w:w="90"/>
            </w:tcMar>
            <w:vAlign w:val="center"/>
          </w:tcPr>
          <w:p>
            <w:r>
              <w:rPr>
                <w:b w:val="false"/>
                <w:bCs w:val="false"/>
                <w:sz w:val="18"/>
                <w:szCs w:val="18"/>
              </w:rPr>
              <w:t xml:space="preserve">mesure l'effort transmis, détecte un blocage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6</w:t>
            </w:r>
          </w:p>
        </w:tc>
        <w:tc>
          <w:tcPr>
            <w:tcW w:type="dxa" w:w="4700"/>
            <w:tcMar>
              <w:top w:type="dxa" w:w="90"/>
              <w:left w:type="dxa" w:w="90"/>
              <w:bottom w:type="dxa" w:w="90"/>
              <w:right w:type="dxa" w:w="90"/>
            </w:tcMar>
            <w:vAlign w:val="center"/>
          </w:tcPr>
          <w:p>
            <w:r>
              <w:rPr>
                <w:b w:val="false"/>
                <w:bCs w:val="false"/>
                <w:sz w:val="18"/>
                <w:szCs w:val="18"/>
              </w:rPr>
              <w:t xml:space="preserve">Cellule photoélectrique</w:t>
            </w:r>
          </w:p>
        </w:tc>
        <w:tc>
          <w:tcPr>
            <w:tcW w:type="dxa" w:w="4600"/>
            <w:tcMar>
              <w:top w:type="dxa" w:w="90"/>
              <w:left w:type="dxa" w:w="90"/>
              <w:bottom w:type="dxa" w:w="90"/>
              <w:right w:type="dxa" w:w="90"/>
            </w:tcMar>
            <w:vAlign w:val="center"/>
          </w:tcPr>
          <w:p>
            <w:r>
              <w:rPr>
                <w:b w:val="false"/>
                <w:bCs w:val="false"/>
                <w:sz w:val="18"/>
                <w:szCs w:val="18"/>
              </w:rPr>
              <w:t xml:space="preserve">détecte un obstacle sur le passage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7</w:t>
            </w:r>
          </w:p>
        </w:tc>
        <w:tc>
          <w:tcPr>
            <w:tcW w:type="dxa" w:w="4700"/>
            <w:tcMar>
              <w:top w:type="dxa" w:w="90"/>
              <w:left w:type="dxa" w:w="90"/>
              <w:bottom w:type="dxa" w:w="90"/>
              <w:right w:type="dxa" w:w="90"/>
            </w:tcMar>
            <w:vAlign w:val="center"/>
          </w:tcPr>
          <w:p>
            <w:r>
              <w:rPr>
                <w:b w:val="false"/>
                <w:bCs w:val="false"/>
                <w:sz w:val="18"/>
                <w:szCs w:val="18"/>
              </w:rPr>
              <w:t xml:space="preserve">Microcontrôleur PIC (par vantail)</w:t>
            </w:r>
          </w:p>
        </w:tc>
        <w:tc>
          <w:tcPr>
            <w:tcW w:type="dxa" w:w="4600"/>
            <w:tcMar>
              <w:top w:type="dxa" w:w="90"/>
              <w:left w:type="dxa" w:w="90"/>
              <w:bottom w:type="dxa" w:w="90"/>
              <w:right w:type="dxa" w:w="90"/>
            </w:tcMar>
            <w:vAlign w:val="center"/>
          </w:tcPr>
          <w:p>
            <w:r>
              <w:rPr>
                <w:b w:val="false"/>
                <w:bCs w:val="false"/>
                <w:sz w:val="18"/>
                <w:szCs w:val="18"/>
              </w:rPr>
              <w:t xml:space="preserve">pilote le vantail, gère la liaison radio</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8</w:t>
            </w:r>
          </w:p>
        </w:tc>
        <w:tc>
          <w:tcPr>
            <w:tcW w:type="dxa" w:w="4700"/>
            <w:tcMar>
              <w:top w:type="dxa" w:w="90"/>
              <w:left w:type="dxa" w:w="90"/>
              <w:bottom w:type="dxa" w:w="90"/>
              <w:right w:type="dxa" w:w="90"/>
            </w:tcMar>
            <w:vAlign w:val="center"/>
          </w:tcPr>
          <w:p>
            <w:r>
              <w:rPr>
                <w:b w:val="false"/>
                <w:bCs w:val="false"/>
                <w:sz w:val="18"/>
                <w:szCs w:val="18"/>
              </w:rPr>
              <w:t xml:space="preserve">Liaison radio inter-vantaux</w:t>
            </w:r>
          </w:p>
        </w:tc>
        <w:tc>
          <w:tcPr>
            <w:tcW w:type="dxa" w:w="4600"/>
            <w:tcMar>
              <w:top w:type="dxa" w:w="90"/>
              <w:left w:type="dxa" w:w="90"/>
              <w:bottom w:type="dxa" w:w="90"/>
              <w:right w:type="dxa" w:w="90"/>
            </w:tcMar>
            <w:vAlign w:val="center"/>
          </w:tcPr>
          <w:p>
            <w:r>
              <w:rPr>
                <w:b w:val="false"/>
                <w:bCs w:val="false"/>
                <w:sz w:val="18"/>
                <w:szCs w:val="18"/>
              </w:rPr>
              <w:t xml:space="preserve">synchronise les deux moteurs entre eux</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9</w:t>
            </w:r>
          </w:p>
        </w:tc>
        <w:tc>
          <w:tcPr>
            <w:tcW w:type="dxa" w:w="4700"/>
            <w:tcMar>
              <w:top w:type="dxa" w:w="90"/>
              <w:left w:type="dxa" w:w="90"/>
              <w:bottom w:type="dxa" w:w="90"/>
              <w:right w:type="dxa" w:w="90"/>
            </w:tcMar>
            <w:vAlign w:val="center"/>
          </w:tcPr>
          <w:p>
            <w:r>
              <w:rPr>
                <w:b w:val="false"/>
                <w:bCs w:val="false"/>
                <w:sz w:val="18"/>
                <w:szCs w:val="18"/>
              </w:rPr>
              <w:t xml:space="preserve">Télécommande HF 433,92 MHz (× 2)</w:t>
            </w:r>
          </w:p>
        </w:tc>
        <w:tc>
          <w:tcPr>
            <w:tcW w:type="dxa" w:w="4600"/>
            <w:tcMar>
              <w:top w:type="dxa" w:w="90"/>
              <w:left w:type="dxa" w:w="90"/>
              <w:bottom w:type="dxa" w:w="90"/>
              <w:right w:type="dxa" w:w="90"/>
            </w:tcMar>
            <w:vAlign w:val="center"/>
          </w:tcPr>
          <w:p>
            <w:r>
              <w:rPr>
                <w:b w:val="false"/>
                <w:bCs w:val="false"/>
                <w:sz w:val="18"/>
                <w:szCs w:val="18"/>
              </w:rPr>
              <w:t xml:space="preserve">commande d'ouverture/fermeture à distance</w:t>
            </w:r>
          </w:p>
        </w:tc>
      </w:tr>
    </w:tbl>
    <w:p>
      <w:pPr>
        <w:spacing w:after="120"/>
      </w:pPr>
      <w:r>
        <w:rPr>
          <w:i/>
          <w:iCs/>
          <w:sz w:val="19"/>
          <w:szCs w:val="19"/>
        </w:rPr>
        <w:t xml:space="preserve">Chaque vantail est un système complet et autonome : la chaîne d'information d'un vantail pilote son propre moteur, pas celui d'en face.</w:t>
      </w:r>
    </w:p>
    <w:sectPr>
      <w:footerReference w:type="default" r:id="rId7"/>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i/>
        <w:iCs/>
        <w:color w:val="888888"/>
        <w:sz w:val="15"/>
        <w:szCs w:val="15"/>
      </w:rPr>
      <w:t xml:space="preserve">Annexe (non imprimée) + poste du binôme   |   Comment un objet peut-il percevoir un danger, décider seul, et prévenir — sans personne derrière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14" Type="http://schemas.openxmlformats.org/officeDocument/2006/relationships/image" Target="media/img_portail_solaire.jp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2026-08-05T09:28:24.865Z</dcterms:created>
  <dcterms:modified xsi:type="dcterms:W3CDTF">2026-08-05T09:28:24.865Z</dcterms:modified>
</cp:coreProperties>
</file>

<file path=docProps/custom.xml><?xml version="1.0" encoding="utf-8"?>
<Properties xmlns="http://schemas.openxmlformats.org/officeDocument/2006/custom-properties" xmlns:vt="http://schemas.openxmlformats.org/officeDocument/2006/docPropsVTypes"/>
</file>