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E7A46"/>
          <w:sz w:val="40"/>
          <w:szCs w:val="40"/>
        </w:rPr>
        <w:t xml:space="preserve">Annexe — Maquette de portail Arduino (Binôme 6)</w:t>
      </w:r>
    </w:p>
    <w:p>
      <w:pPr>
        <w:pBdr>
          <w:bottom w:val="single" w:color="4ADE80" w:sz="6" w:space="8"/>
        </w:pBdr>
        <w:spacing w:after="300"/>
        <w:jc w:val="center"/>
      </w:pPr>
      <w:r>
        <w:rPr>
          <w:i/>
          <w:iCs/>
          <w:color w:val="555555"/>
          <w:sz w:val="20"/>
          <w:szCs w:val="20"/>
        </w:rPr>
        <w:t xml:space="preserve">Terminale STI2D — Spécialité SIN — Séquence 1</w:t>
      </w:r>
    </w:p>
    <w:p>
      <w:pPr>
        <w:spacing w:after="140"/>
        <w:jc w:val="right"/>
      </w:pPr>
      <w:r>
        <w:rPr>
          <w:i/>
          <w:iCs/>
          <w:color w:val="888888"/>
          <w:sz w:val="16"/>
          <w:szCs w:val="16"/>
        </w:rPr>
        <w:t xml:space="preserve">Annexe — non imprimée — ouverte sur le poste du binôme</w:t>
      </w:r>
    </w:p>
    <w:p>
      <w:pPr>
        <w:pageBreakBefore/>
        <w:spacing w:after="100" w:before="240"/>
      </w:pPr>
      <w:r>
        <w:rPr>
          <w:b/>
          <w:bCs/>
          <w:color w:val="1E7A46"/>
          <w:sz w:val="28"/>
          <w:szCs w:val="28"/>
        </w:rPr>
        <w:t xml:space="preserve">Binôme 6 — Maquette de portail Arduino (portail à un battant)</w:t>
      </w:r>
    </w:p>
    <w:p>
      <w:pPr>
        <w:spacing w:after="80" w:before="150"/>
      </w:pPr>
      <w:r>
        <w:rPr>
          <w:b/>
          <w:bCs/>
          <w:color w:val="1E7A46"/>
          <w:sz w:val="22"/>
          <w:szCs w:val="22"/>
        </w:rPr>
        <w:t xml:space="preserve">Présentation</w:t>
      </w:r>
    </w:p>
    <w:p>
      <w:pPr>
        <w:spacing w:after="120"/>
      </w:pPr>
      <w:r>
        <w:rPr>
          <w:sz w:val="19"/>
          <w:szCs w:val="19"/>
        </w:rPr>
        <w:t xml:space="preserve">Maquette pédagogique d'un portail à un battant, pilotée par une carte Arduino. Le battant s'ouvre et se ferme sur commande d'une télécommande infrarouge ou d'un bouton-poussoir, avec une barrière infrarouge de sécurité pour détecter un obstacle sur le passage.</w:t>
      </w:r>
    </w:p>
    <w:p>
      <w:pPr>
        <w:spacing w:after="140" w:before="140"/>
        <w:jc w:val="center"/>
      </w:pPr>
      <w:r>
        <w:drawing>
          <wp:inline distT="0" distB="0" distL="0" distR="0">
            <wp:extent cx="4114800" cy="3559690"/>
            <wp:effectExtent t="0" r="0" b="0" l="0"/>
            <wp:docPr id="101" name="Maquette de portail Arduino"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114800" cy="3559690"/>
                    </a:xfrm>
                    <a:prstGeom prst="rect">
                      <a:avLst/>
                    </a:prstGeom>
                  </pic:spPr>
                </pic:pic>
              </a:graphicData>
            </a:graphic>
          </wp:inline>
        </w:drawing>
      </w:r>
    </w:p>
    <w:p>
      <w:pPr>
        <w:spacing w:after="80" w:before="150"/>
      </w:pPr>
      <w:r>
        <w:rPr>
          <w:b/>
          <w:bCs/>
          <w:color w:val="1E7A46"/>
          <w:sz w:val="22"/>
          <w:szCs w:val="22"/>
        </w:rPr>
        <w:t xml:space="preserve">Fonctionnement</w:t>
      </w:r>
    </w:p>
    <w:p>
      <w:pPr>
        <w:spacing w:after="120"/>
      </w:pPr>
      <w:r>
        <w:rPr>
          <w:sz w:val="19"/>
          <w:szCs w:val="19"/>
        </w:rPr>
        <w:t xml:space="preserve">Un bouton-poussoir ou la télécommande infrarouge déclenchent l'ouverture ou la fermeture. La carte commande alors un servomoteur qui actionne le battant. Une LED émettrice et une LED réceptrice infrarouges forment une barrière de sécurité sur le passage : si elle est coupée pendant le mouvement, la carte arrête le battant. Un buzzer et une LED rouge signalent le mouvement en cours.</w:t>
      </w:r>
    </w:p>
    <w:p>
      <w:pPr>
        <w:spacing w:after="80" w:before="150"/>
      </w:pPr>
      <w:r>
        <w:rPr>
          <w:b/>
          <w:bCs/>
          <w:color w:val="1E7A46"/>
          <w:sz w:val="22"/>
          <w:szCs w:val="22"/>
        </w:rPr>
        <w:t xml:space="preserve">Composants</w:t>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900"/>
        <w:gridCol w:w="4700"/>
        <w:gridCol w:w="4600"/>
      </w:tblGrid>
      <w:tr>
        <w:trPr>
          <w:cantSplit w:val="false"/>
          <w:tblHeader w:val="false"/>
        </w:trPr>
        <w:tc>
          <w:tcPr>
            <w:tcW w:type="dxa" w:w="900"/>
            <w:shd w:fill="1E7A46" w:val="clear"/>
            <w:tcMar>
              <w:top w:type="dxa" w:w="90"/>
              <w:left w:type="dxa" w:w="90"/>
              <w:bottom w:type="dxa" w:w="90"/>
              <w:right w:type="dxa" w:w="90"/>
            </w:tcMar>
            <w:vAlign w:val="center"/>
          </w:tcPr>
          <w:p>
            <w:r>
              <w:rPr>
                <w:b/>
                <w:bCs/>
                <w:color w:val="FFFFFF"/>
                <w:sz w:val="18"/>
                <w:szCs w:val="18"/>
              </w:rPr>
              <w:t xml:space="preserve">Repère</w:t>
            </w:r>
          </w:p>
        </w:tc>
        <w:tc>
          <w:tcPr>
            <w:tcW w:type="dxa" w:w="4700"/>
            <w:shd w:fill="1E7A46" w:val="clear"/>
            <w:tcMar>
              <w:top w:type="dxa" w:w="90"/>
              <w:left w:type="dxa" w:w="90"/>
              <w:bottom w:type="dxa" w:w="90"/>
              <w:right w:type="dxa" w:w="90"/>
            </w:tcMar>
            <w:vAlign w:val="center"/>
          </w:tcPr>
          <w:p>
            <w:r>
              <w:rPr>
                <w:b/>
                <w:bCs/>
                <w:color w:val="FFFFFF"/>
                <w:sz w:val="18"/>
                <w:szCs w:val="18"/>
              </w:rPr>
              <w:t xml:space="preserve">Désignation</w:t>
            </w:r>
          </w:p>
        </w:tc>
        <w:tc>
          <w:tcPr>
            <w:tcW w:type="dxa" w:w="4600"/>
            <w:shd w:fill="1E7A46" w:val="clear"/>
            <w:tcMar>
              <w:top w:type="dxa" w:w="90"/>
              <w:left w:type="dxa" w:w="90"/>
              <w:bottom w:type="dxa" w:w="90"/>
              <w:right w:type="dxa" w:w="90"/>
            </w:tcMar>
            <w:vAlign w:val="center"/>
          </w:tcPr>
          <w:p>
            <w:r>
              <w:rPr>
                <w:b/>
                <w:bCs/>
                <w:color w:val="FFFFFF"/>
                <w:sz w:val="18"/>
                <w:szCs w:val="18"/>
              </w:rPr>
              <w:t xml:space="preserve">Caractéristique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w:t>
            </w:r>
          </w:p>
        </w:tc>
        <w:tc>
          <w:tcPr>
            <w:tcW w:type="dxa" w:w="4700"/>
            <w:tcMar>
              <w:top w:type="dxa" w:w="90"/>
              <w:left w:type="dxa" w:w="90"/>
              <w:bottom w:type="dxa" w:w="90"/>
              <w:right w:type="dxa" w:w="90"/>
            </w:tcMar>
            <w:vAlign w:val="center"/>
          </w:tcPr>
          <w:p>
            <w:r>
              <w:rPr>
                <w:b w:val="false"/>
                <w:bCs w:val="false"/>
                <w:sz w:val="18"/>
                <w:szCs w:val="18"/>
              </w:rPr>
              <w:t xml:space="preserve">Bouton-poussoir (entrée, broche D2)</w:t>
            </w:r>
          </w:p>
        </w:tc>
        <w:tc>
          <w:tcPr>
            <w:tcW w:type="dxa" w:w="4600"/>
            <w:tcMar>
              <w:top w:type="dxa" w:w="90"/>
              <w:left w:type="dxa" w:w="90"/>
              <w:bottom w:type="dxa" w:w="90"/>
              <w:right w:type="dxa" w:w="90"/>
            </w:tcMar>
            <w:vAlign w:val="center"/>
          </w:tcPr>
          <w:p>
            <w:r>
              <w:rPr>
                <w:b w:val="false"/>
                <w:bCs w:val="false"/>
                <w:sz w:val="18"/>
                <w:szCs w:val="18"/>
              </w:rPr>
              <w:t xml:space="preserve">déclenche l'ouverture/fermeture en local</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2</w:t>
            </w:r>
          </w:p>
        </w:tc>
        <w:tc>
          <w:tcPr>
            <w:tcW w:type="dxa" w:w="4700"/>
            <w:tcMar>
              <w:top w:type="dxa" w:w="90"/>
              <w:left w:type="dxa" w:w="90"/>
              <w:bottom w:type="dxa" w:w="90"/>
              <w:right w:type="dxa" w:w="90"/>
            </w:tcMar>
            <w:vAlign w:val="center"/>
          </w:tcPr>
          <w:p>
            <w:r>
              <w:rPr>
                <w:b w:val="false"/>
                <w:bCs w:val="false"/>
                <w:sz w:val="18"/>
                <w:szCs w:val="18"/>
              </w:rPr>
              <w:t xml:space="preserve">Servomoteur (sortie, broche D3)</w:t>
            </w:r>
          </w:p>
        </w:tc>
        <w:tc>
          <w:tcPr>
            <w:tcW w:type="dxa" w:w="4600"/>
            <w:tcMar>
              <w:top w:type="dxa" w:w="90"/>
              <w:left w:type="dxa" w:w="90"/>
              <w:bottom w:type="dxa" w:w="90"/>
              <w:right w:type="dxa" w:w="90"/>
            </w:tcMar>
            <w:vAlign w:val="center"/>
          </w:tcPr>
          <w:p>
            <w:r>
              <w:rPr>
                <w:b w:val="false"/>
                <w:bCs w:val="false"/>
                <w:sz w:val="18"/>
                <w:szCs w:val="18"/>
              </w:rPr>
              <w:t xml:space="preserve">actionne le battant</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3</w:t>
            </w:r>
          </w:p>
        </w:tc>
        <w:tc>
          <w:tcPr>
            <w:tcW w:type="dxa" w:w="4700"/>
            <w:tcMar>
              <w:top w:type="dxa" w:w="90"/>
              <w:left w:type="dxa" w:w="90"/>
              <w:bottom w:type="dxa" w:w="90"/>
              <w:right w:type="dxa" w:w="90"/>
            </w:tcMar>
            <w:vAlign w:val="center"/>
          </w:tcPr>
          <w:p>
            <w:r>
              <w:rPr>
                <w:b w:val="false"/>
                <w:bCs w:val="false"/>
                <w:sz w:val="18"/>
                <w:szCs w:val="18"/>
              </w:rPr>
              <w:t xml:space="preserve">Buzzer (sortie, broche D4)</w:t>
            </w:r>
          </w:p>
        </w:tc>
        <w:tc>
          <w:tcPr>
            <w:tcW w:type="dxa" w:w="4600"/>
            <w:tcMar>
              <w:top w:type="dxa" w:w="90"/>
              <w:left w:type="dxa" w:w="90"/>
              <w:bottom w:type="dxa" w:w="90"/>
              <w:right w:type="dxa" w:w="90"/>
            </w:tcMar>
            <w:vAlign w:val="center"/>
          </w:tcPr>
          <w:p>
            <w:r>
              <w:rPr>
                <w:b w:val="false"/>
                <w:bCs w:val="false"/>
                <w:sz w:val="18"/>
                <w:szCs w:val="18"/>
              </w:rPr>
              <w:t xml:space="preserve">signal sonore pendant le mouvement</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4</w:t>
            </w:r>
          </w:p>
        </w:tc>
        <w:tc>
          <w:tcPr>
            <w:tcW w:type="dxa" w:w="4700"/>
            <w:tcMar>
              <w:top w:type="dxa" w:w="90"/>
              <w:left w:type="dxa" w:w="90"/>
              <w:bottom w:type="dxa" w:w="90"/>
              <w:right w:type="dxa" w:w="90"/>
            </w:tcMar>
            <w:vAlign w:val="center"/>
          </w:tcPr>
          <w:p>
            <w:r>
              <w:rPr>
                <w:b w:val="false"/>
                <w:bCs w:val="false"/>
                <w:sz w:val="18"/>
                <w:szCs w:val="18"/>
              </w:rPr>
              <w:t xml:space="preserve">LED émettrice infrarouge (sortie, broche D5)</w:t>
            </w:r>
          </w:p>
        </w:tc>
        <w:tc>
          <w:tcPr>
            <w:tcW w:type="dxa" w:w="4600"/>
            <w:tcMar>
              <w:top w:type="dxa" w:w="90"/>
              <w:left w:type="dxa" w:w="90"/>
              <w:bottom w:type="dxa" w:w="90"/>
              <w:right w:type="dxa" w:w="90"/>
            </w:tcMar>
            <w:vAlign w:val="center"/>
          </w:tcPr>
          <w:p>
            <w:r>
              <w:rPr>
                <w:b w:val="false"/>
                <w:bCs w:val="false"/>
                <w:sz w:val="18"/>
                <w:szCs w:val="18"/>
              </w:rPr>
              <w:t xml:space="preserve">émet le faisceau de la barrière de sécurité</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5</w:t>
            </w:r>
          </w:p>
        </w:tc>
        <w:tc>
          <w:tcPr>
            <w:tcW w:type="dxa" w:w="4700"/>
            <w:tcMar>
              <w:top w:type="dxa" w:w="90"/>
              <w:left w:type="dxa" w:w="90"/>
              <w:bottom w:type="dxa" w:w="90"/>
              <w:right w:type="dxa" w:w="90"/>
            </w:tcMar>
            <w:vAlign w:val="center"/>
          </w:tcPr>
          <w:p>
            <w:r>
              <w:rPr>
                <w:b w:val="false"/>
                <w:bCs w:val="false"/>
                <w:sz w:val="18"/>
                <w:szCs w:val="18"/>
              </w:rPr>
              <w:t xml:space="preserve">LED rouge (sortie, broche D6)</w:t>
            </w:r>
          </w:p>
        </w:tc>
        <w:tc>
          <w:tcPr>
            <w:tcW w:type="dxa" w:w="4600"/>
            <w:tcMar>
              <w:top w:type="dxa" w:w="90"/>
              <w:left w:type="dxa" w:w="90"/>
              <w:bottom w:type="dxa" w:w="90"/>
              <w:right w:type="dxa" w:w="90"/>
            </w:tcMar>
            <w:vAlign w:val="center"/>
          </w:tcPr>
          <w:p>
            <w:r>
              <w:rPr>
                <w:b w:val="false"/>
                <w:bCs w:val="false"/>
                <w:sz w:val="18"/>
                <w:szCs w:val="18"/>
              </w:rPr>
              <w:t xml:space="preserve">signal visuel pendant le mouvement</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6</w:t>
            </w:r>
          </w:p>
        </w:tc>
        <w:tc>
          <w:tcPr>
            <w:tcW w:type="dxa" w:w="4700"/>
            <w:tcMar>
              <w:top w:type="dxa" w:w="90"/>
              <w:left w:type="dxa" w:w="90"/>
              <w:bottom w:type="dxa" w:w="90"/>
              <w:right w:type="dxa" w:w="90"/>
            </w:tcMar>
            <w:vAlign w:val="center"/>
          </w:tcPr>
          <w:p>
            <w:r>
              <w:rPr>
                <w:b w:val="false"/>
                <w:bCs w:val="false"/>
                <w:sz w:val="18"/>
                <w:szCs w:val="18"/>
              </w:rPr>
              <w:t xml:space="preserve">LED réceptrice infrarouge — barrière (entrée, broche D7)</w:t>
            </w:r>
          </w:p>
        </w:tc>
        <w:tc>
          <w:tcPr>
            <w:tcW w:type="dxa" w:w="4600"/>
            <w:tcMar>
              <w:top w:type="dxa" w:w="90"/>
              <w:left w:type="dxa" w:w="90"/>
              <w:bottom w:type="dxa" w:w="90"/>
              <w:right w:type="dxa" w:w="90"/>
            </w:tcMar>
            <w:vAlign w:val="center"/>
          </w:tcPr>
          <w:p>
            <w:r>
              <w:rPr>
                <w:b w:val="false"/>
                <w:bCs w:val="false"/>
                <w:sz w:val="18"/>
                <w:szCs w:val="18"/>
              </w:rPr>
              <w:t xml:space="preserve">détecte une coupure du faisceau de sécurité</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7</w:t>
            </w:r>
          </w:p>
        </w:tc>
        <w:tc>
          <w:tcPr>
            <w:tcW w:type="dxa" w:w="4700"/>
            <w:tcMar>
              <w:top w:type="dxa" w:w="90"/>
              <w:left w:type="dxa" w:w="90"/>
              <w:bottom w:type="dxa" w:w="90"/>
              <w:right w:type="dxa" w:w="90"/>
            </w:tcMar>
            <w:vAlign w:val="center"/>
          </w:tcPr>
          <w:p>
            <w:r>
              <w:rPr>
                <w:b w:val="false"/>
                <w:bCs w:val="false"/>
                <w:sz w:val="18"/>
                <w:szCs w:val="18"/>
              </w:rPr>
              <w:t xml:space="preserve">LED réceptrice infrarouge — télécommande (entrée, broche D8)</w:t>
            </w:r>
          </w:p>
        </w:tc>
        <w:tc>
          <w:tcPr>
            <w:tcW w:type="dxa" w:w="4600"/>
            <w:tcMar>
              <w:top w:type="dxa" w:w="90"/>
              <w:left w:type="dxa" w:w="90"/>
              <w:bottom w:type="dxa" w:w="90"/>
              <w:right w:type="dxa" w:w="90"/>
            </w:tcMar>
            <w:vAlign w:val="center"/>
          </w:tcPr>
          <w:p>
            <w:r>
              <w:rPr>
                <w:b w:val="false"/>
                <w:bCs w:val="false"/>
                <w:sz w:val="18"/>
                <w:szCs w:val="18"/>
              </w:rPr>
              <w:t xml:space="preserve">reçoit les ordres de la télécommande infrarouge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8</w:t>
            </w:r>
          </w:p>
        </w:tc>
        <w:tc>
          <w:tcPr>
            <w:tcW w:type="dxa" w:w="4700"/>
            <w:tcMar>
              <w:top w:type="dxa" w:w="90"/>
              <w:left w:type="dxa" w:w="90"/>
              <w:bottom w:type="dxa" w:w="90"/>
              <w:right w:type="dxa" w:w="90"/>
            </w:tcMar>
            <w:vAlign w:val="center"/>
          </w:tcPr>
          <w:p>
            <w:r>
              <w:rPr>
                <w:b w:val="false"/>
                <w:bCs w:val="false"/>
                <w:sz w:val="18"/>
                <w:szCs w:val="18"/>
              </w:rPr>
              <w:t xml:space="preserve">Carte Arduino</w:t>
            </w:r>
          </w:p>
        </w:tc>
        <w:tc>
          <w:tcPr>
            <w:tcW w:type="dxa" w:w="4600"/>
            <w:tcMar>
              <w:top w:type="dxa" w:w="90"/>
              <w:left w:type="dxa" w:w="90"/>
              <w:bottom w:type="dxa" w:w="90"/>
              <w:right w:type="dxa" w:w="90"/>
            </w:tcMar>
            <w:vAlign w:val="center"/>
          </w:tcPr>
          <w:p>
            <w:r>
              <w:rPr>
                <w:b w:val="false"/>
                <w:bCs w:val="false"/>
                <w:sz w:val="18"/>
                <w:szCs w:val="18"/>
              </w:rPr>
              <w:t xml:space="preserve">exécute le programme (Ardublock Education ou mBlock)</w:t>
            </w:r>
          </w:p>
        </w:tc>
      </w:tr>
    </w:tbl>
    <w:p>
      <w:pPr>
        <w:spacing w:after="120"/>
      </w:pPr>
      <w:r>
        <w:rPr>
          <w:i/>
          <w:iCs/>
          <w:sz w:val="19"/>
          <w:szCs w:val="19"/>
        </w:rPr>
        <w:t xml:space="preserve">Les entrées et sorties sont câblées sur des broches numériques identifiées (D2 à D8) : chaque broche a une seule fonction, ce qui rend la chaîne d'information particulièrement facile à tracer sur cette maquette.</w:t>
      </w:r>
    </w:p>
    <w:sectPr>
      <w:footerReference w:type="default" r:id="rId7"/>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i/>
        <w:iCs/>
        <w:color w:val="888888"/>
        <w:sz w:val="15"/>
        <w:szCs w:val="15"/>
      </w:rPr>
      <w:t xml:space="preserve">Annexe (non imprimée) + poste du binôme   |   Comment un objet peut-il percevoir un danger, décider seul, et prévenir — sans personne derrière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14" Type="http://schemas.openxmlformats.org/officeDocument/2006/relationships/image" Target="media/img_portail_arduino.jp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2026-08-05T09:28:24.865Z</dcterms:created>
  <dcterms:modified xsi:type="dcterms:W3CDTF">2026-08-05T09:28:24.865Z</dcterms:modified>
</cp:coreProperties>
</file>

<file path=docProps/custom.xml><?xml version="1.0" encoding="utf-8"?>
<Properties xmlns="http://schemas.openxmlformats.org/officeDocument/2006/custom-properties" xmlns:vt="http://schemas.openxmlformats.org/officeDocument/2006/docPropsVTypes"/>
</file>