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E7A46"/>
          <w:sz w:val="40"/>
          <w:szCs w:val="40"/>
        </w:rPr>
        <w:t xml:space="preserve">Annexe — Mini-serre BE-SER (Binômes 7 et 8)</w:t>
      </w:r>
    </w:p>
    <w:p>
      <w:pPr>
        <w:pBdr>
          <w:bottom w:val="single" w:color="4ADE80" w:sz="6" w:space="8"/>
        </w:pBdr>
        <w:spacing w:after="300"/>
        <w:jc w:val="center"/>
      </w:pPr>
      <w:r>
        <w:rPr>
          <w:i/>
          <w:iCs/>
          <w:color w:val="555555"/>
          <w:sz w:val="20"/>
          <w:szCs w:val="20"/>
        </w:rPr>
        <w:t xml:space="preserve">Terminale STI2D — Spécialité SIN — Séquence 1</w:t>
      </w:r>
    </w:p>
    <w:p>
      <w:pPr>
        <w:spacing w:after="140"/>
        <w:jc w:val="right"/>
      </w:pPr>
      <w:r>
        <w:rPr>
          <w:i/>
          <w:iCs/>
          <w:color w:val="888888"/>
          <w:sz w:val="16"/>
          <w:szCs w:val="16"/>
        </w:rPr>
        <w:t xml:space="preserve">Annexe — non imprimée — ouverte sur le poste du binôme</w:t>
      </w:r>
    </w:p>
    <w:p>
      <w:pPr>
        <w:pageBreakBefore/>
        <w:spacing w:after="100" w:before="240"/>
      </w:pPr>
      <w:r>
        <w:rPr>
          <w:b/>
          <w:bCs/>
          <w:color w:val="1E7A46"/>
          <w:sz w:val="28"/>
          <w:szCs w:val="28"/>
        </w:rPr>
        <w:t xml:space="preserve">Binômes 7 et 8 — Mini-serre autonome (BE-SER)</w:t>
      </w:r>
    </w:p>
    <w:p>
      <w:pPr>
        <w:spacing w:after="80" w:before="150"/>
      </w:pPr>
      <w:r>
        <w:rPr>
          <w:b/>
          <w:bCs/>
          <w:color w:val="1E7A46"/>
          <w:sz w:val="22"/>
          <w:szCs w:val="22"/>
        </w:rPr>
        <w:t xml:space="preserve">Présentation</w:t>
      </w:r>
    </w:p>
    <w:p>
      <w:pPr>
        <w:spacing w:after="120"/>
      </w:pPr>
      <w:r>
        <w:rPr>
          <w:sz w:val="19"/>
          <w:szCs w:val="19"/>
        </w:rPr>
        <w:t xml:space="preserve">Serre miniature qui régule seule les conditions de vie des plantes qu'elle abrite : elle surveille la température et l'humidité de la terre, arrose si besoin, ventile et ouvre sa fenêtre. Elle est pilotée par une interface AutoProg®, programmable en Blockly, mBlock ou IDE Arduino.</w:t>
      </w:r>
    </w:p>
    <w:p>
      <w:pPr>
        <w:spacing w:after="140" w:before="140"/>
        <w:jc w:val="center"/>
      </w:pPr>
      <w:r>
        <w:drawing>
          <wp:inline distT="0" distB="0" distL="0" distR="0">
            <wp:extent cx="2334484" cy="3017520"/>
            <wp:effectExtent t="0" r="0" b="0" l="0"/>
            <wp:docPr id="101" name="Mini-serr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334484" cy="3017520"/>
                    </a:xfrm>
                    <a:prstGeom prst="rect">
                      <a:avLst/>
                    </a:prstGeom>
                  </pic:spPr>
                </pic:pic>
              </a:graphicData>
            </a:graphic>
          </wp:inline>
        </w:drawing>
      </w:r>
    </w:p>
    <w:p>
      <w:pPr>
        <w:spacing w:after="80" w:before="150"/>
      </w:pPr>
      <w:r>
        <w:rPr>
          <w:b/>
          <w:bCs/>
          <w:color w:val="1E7A46"/>
          <w:sz w:val="22"/>
          <w:szCs w:val="22"/>
        </w:rPr>
        <w:t xml:space="preserve">Fonctionnement</w:t>
      </w:r>
    </w:p>
    <w:p>
      <w:pPr>
        <w:spacing w:after="120"/>
      </w:pPr>
      <w:r>
        <w:rPr>
          <w:sz w:val="19"/>
          <w:szCs w:val="19"/>
        </w:rPr>
        <w:t xml:space="preserve">Un capteur de température ambiante et une sonde hygrométrique dans la terre renseignent en continu l'état de la serre. Quand la terre est trop sèche, une pompe immergée envoie l'eau du réservoir vers un goutteur. Un ventilateur assure la ventilation forcée, et un motoréducteur ouvre ou ferme la fenêtre du toit. En option, un afficheur OLED (4 lignes × 20 caractères) et un bouton-poussoir permettent de consulter température, hygrométrie et alertes directement sur la serre.</w:t>
      </w:r>
    </w:p>
    <w:p>
      <w:pPr>
        <w:spacing w:after="120"/>
      </w:pPr>
      <w:r>
        <w:rPr>
          <w:i/>
          <w:iCs/>
          <w:sz w:val="19"/>
          <w:szCs w:val="19"/>
        </w:rPr>
        <w:t xml:space="preserve">Binôme 7 (acquisition / traitement) : concentrez-vous sur les capteurs, le module de contrôle des deux moteurs et le module de puissance (repères 1 à 7). Binôme 8 (communication / options) : concentrez-vous sur l'afficheur, le bouton-poussoir et les options (repères 8 à 11).</w:t>
      </w:r>
    </w:p>
    <w:p>
      <w:pPr>
        <w:spacing w:after="80" w:before="150"/>
      </w:pPr>
      <w:r>
        <w:rPr>
          <w:b/>
          <w:bCs/>
          <w:color w:val="1E7A46"/>
          <w:sz w:val="22"/>
          <w:szCs w:val="22"/>
        </w:rPr>
        <w:t xml:space="preserve">Composants</w:t>
      </w:r>
    </w:p>
    <w:tbl>
      <w:tblPr>
        <w:tblW w:type="dxa" w:w="10200"/>
        <w:tblBorders>
          <w:top w:val="single" w:color="auto" w:sz="4"/>
          <w:left w:val="single" w:color="auto" w:sz="4"/>
          <w:bottom w:val="single" w:color="auto" w:sz="4"/>
          <w:right w:val="single" w:color="auto" w:sz="4"/>
          <w:insideH w:val="single" w:color="auto" w:sz="4"/>
          <w:insideV w:val="single" w:color="auto" w:sz="4"/>
        </w:tblBorders>
      </w:tblPr>
      <w:tblGrid>
        <w:gridCol w:w="900"/>
        <w:gridCol w:w="4700"/>
        <w:gridCol w:w="4600"/>
      </w:tblGrid>
      <w:tr>
        <w:trPr>
          <w:cantSplit w:val="false"/>
          <w:tblHeader w:val="false"/>
        </w:trPr>
        <w:tc>
          <w:tcPr>
            <w:tcW w:type="dxa" w:w="900"/>
            <w:shd w:fill="1E7A46" w:val="clear"/>
            <w:tcMar>
              <w:top w:type="dxa" w:w="90"/>
              <w:left w:type="dxa" w:w="90"/>
              <w:bottom w:type="dxa" w:w="90"/>
              <w:right w:type="dxa" w:w="90"/>
            </w:tcMar>
            <w:vAlign w:val="center"/>
          </w:tcPr>
          <w:p>
            <w:r>
              <w:rPr>
                <w:b/>
                <w:bCs/>
                <w:color w:val="FFFFFF"/>
                <w:sz w:val="18"/>
                <w:szCs w:val="18"/>
              </w:rPr>
              <w:t xml:space="preserve">Repère</w:t>
            </w:r>
          </w:p>
        </w:tc>
        <w:tc>
          <w:tcPr>
            <w:tcW w:type="dxa" w:w="4700"/>
            <w:shd w:fill="1E7A46" w:val="clear"/>
            <w:tcMar>
              <w:top w:type="dxa" w:w="90"/>
              <w:left w:type="dxa" w:w="90"/>
              <w:bottom w:type="dxa" w:w="90"/>
              <w:right w:type="dxa" w:w="90"/>
            </w:tcMar>
            <w:vAlign w:val="center"/>
          </w:tcPr>
          <w:p>
            <w:r>
              <w:rPr>
                <w:b/>
                <w:bCs/>
                <w:color w:val="FFFFFF"/>
                <w:sz w:val="18"/>
                <w:szCs w:val="18"/>
              </w:rPr>
              <w:t xml:space="preserve">Désignation</w:t>
            </w:r>
          </w:p>
        </w:tc>
        <w:tc>
          <w:tcPr>
            <w:tcW w:type="dxa" w:w="4600"/>
            <w:shd w:fill="1E7A46" w:val="clear"/>
            <w:tcMar>
              <w:top w:type="dxa" w:w="90"/>
              <w:left w:type="dxa" w:w="90"/>
              <w:bottom w:type="dxa" w:w="90"/>
              <w:right w:type="dxa" w:w="90"/>
            </w:tcMar>
            <w:vAlign w:val="center"/>
          </w:tcPr>
          <w:p>
            <w:r>
              <w:rPr>
                <w:b/>
                <w:bCs/>
                <w:color w:val="FFFFFF"/>
                <w:sz w:val="18"/>
                <w:szCs w:val="18"/>
              </w:rPr>
              <w:t xml:space="preserve">Caractéristique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w:t>
            </w:r>
          </w:p>
        </w:tc>
        <w:tc>
          <w:tcPr>
            <w:tcW w:type="dxa" w:w="4700"/>
            <w:tcMar>
              <w:top w:type="dxa" w:w="90"/>
              <w:left w:type="dxa" w:w="90"/>
              <w:bottom w:type="dxa" w:w="90"/>
              <w:right w:type="dxa" w:w="90"/>
            </w:tcMar>
            <w:vAlign w:val="center"/>
          </w:tcPr>
          <w:p>
            <w:r>
              <w:rPr>
                <w:b w:val="false"/>
                <w:bCs w:val="false"/>
                <w:sz w:val="18"/>
                <w:szCs w:val="18"/>
              </w:rPr>
              <w:t xml:space="preserve">Sonde hygrométrique (terre)</w:t>
            </w:r>
          </w:p>
        </w:tc>
        <w:tc>
          <w:tcPr>
            <w:tcW w:type="dxa" w:w="4600"/>
            <w:tcMar>
              <w:top w:type="dxa" w:w="90"/>
              <w:left w:type="dxa" w:w="90"/>
              <w:bottom w:type="dxa" w:w="90"/>
              <w:right w:type="dxa" w:w="90"/>
            </w:tcMar>
            <w:vAlign w:val="center"/>
          </w:tcPr>
          <w:p>
            <w:r>
              <w:rPr>
                <w:b w:val="false"/>
                <w:bCs w:val="false"/>
                <w:sz w:val="18"/>
                <w:szCs w:val="18"/>
              </w:rPr>
              <w:t xml:space="preserve">mesure l'humidité du substrat</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2</w:t>
            </w:r>
          </w:p>
        </w:tc>
        <w:tc>
          <w:tcPr>
            <w:tcW w:type="dxa" w:w="4700"/>
            <w:tcMar>
              <w:top w:type="dxa" w:w="90"/>
              <w:left w:type="dxa" w:w="90"/>
              <w:bottom w:type="dxa" w:w="90"/>
              <w:right w:type="dxa" w:w="90"/>
            </w:tcMar>
            <w:vAlign w:val="center"/>
          </w:tcPr>
          <w:p>
            <w:r>
              <w:rPr>
                <w:b w:val="false"/>
                <w:bCs w:val="false"/>
                <w:sz w:val="18"/>
                <w:szCs w:val="18"/>
              </w:rPr>
              <w:t xml:space="preserve">Capteur de température ambiante (module calibré Autoprog®)</w:t>
            </w:r>
          </w:p>
        </w:tc>
        <w:tc>
          <w:tcPr>
            <w:tcW w:type="dxa" w:w="4600"/>
            <w:tcMar>
              <w:top w:type="dxa" w:w="90"/>
              <w:left w:type="dxa" w:w="90"/>
              <w:bottom w:type="dxa" w:w="90"/>
              <w:right w:type="dxa" w:w="90"/>
            </w:tcMar>
            <w:vAlign w:val="center"/>
          </w:tcPr>
          <w:p>
            <w:r>
              <w:rPr>
                <w:b w:val="false"/>
                <w:bCs w:val="false"/>
                <w:sz w:val="18"/>
                <w:szCs w:val="18"/>
              </w:rPr>
              <w:t xml:space="preserve">mesure la température de l'air</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3</w:t>
            </w:r>
          </w:p>
        </w:tc>
        <w:tc>
          <w:tcPr>
            <w:tcW w:type="dxa" w:w="4700"/>
            <w:tcMar>
              <w:top w:type="dxa" w:w="90"/>
              <w:left w:type="dxa" w:w="90"/>
              <w:bottom w:type="dxa" w:w="90"/>
              <w:right w:type="dxa" w:w="90"/>
            </w:tcMar>
            <w:vAlign w:val="center"/>
          </w:tcPr>
          <w:p>
            <w:r>
              <w:rPr>
                <w:b w:val="false"/>
                <w:bCs w:val="false"/>
                <w:sz w:val="18"/>
                <w:szCs w:val="18"/>
              </w:rPr>
              <w:t xml:space="preserve">Motoréducteur 6-24 V</w:t>
            </w:r>
          </w:p>
        </w:tc>
        <w:tc>
          <w:tcPr>
            <w:tcW w:type="dxa" w:w="4600"/>
            <w:tcMar>
              <w:top w:type="dxa" w:w="90"/>
              <w:left w:type="dxa" w:w="90"/>
              <w:bottom w:type="dxa" w:w="90"/>
              <w:right w:type="dxa" w:w="90"/>
            </w:tcMar>
            <w:vAlign w:val="center"/>
          </w:tcPr>
          <w:p>
            <w:r>
              <w:rPr>
                <w:b w:val="false"/>
                <w:bCs w:val="false"/>
                <w:sz w:val="18"/>
                <w:szCs w:val="18"/>
              </w:rPr>
              <w:t xml:space="preserve">ouvre ou ferme la fenêtre du toit</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4</w:t>
            </w:r>
          </w:p>
        </w:tc>
        <w:tc>
          <w:tcPr>
            <w:tcW w:type="dxa" w:w="4700"/>
            <w:tcMar>
              <w:top w:type="dxa" w:w="90"/>
              <w:left w:type="dxa" w:w="90"/>
              <w:bottom w:type="dxa" w:w="90"/>
              <w:right w:type="dxa" w:w="90"/>
            </w:tcMar>
            <w:vAlign w:val="center"/>
          </w:tcPr>
          <w:p>
            <w:r>
              <w:rPr>
                <w:b w:val="false"/>
                <w:bCs w:val="false"/>
                <w:sz w:val="18"/>
                <w:szCs w:val="18"/>
              </w:rPr>
              <w:t xml:space="preserve">Pompe immergée 6 V</w:t>
            </w:r>
          </w:p>
        </w:tc>
        <w:tc>
          <w:tcPr>
            <w:tcW w:type="dxa" w:w="4600"/>
            <w:tcMar>
              <w:top w:type="dxa" w:w="90"/>
              <w:left w:type="dxa" w:w="90"/>
              <w:bottom w:type="dxa" w:w="90"/>
              <w:right w:type="dxa" w:w="90"/>
            </w:tcMar>
            <w:vAlign w:val="center"/>
          </w:tcPr>
          <w:p>
            <w:r>
              <w:rPr>
                <w:b w:val="false"/>
                <w:bCs w:val="false"/>
                <w:sz w:val="18"/>
                <w:szCs w:val="18"/>
              </w:rPr>
              <w:t xml:space="preserve">envoie l'eau du réservoir vers le goutteur</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5</w:t>
            </w:r>
          </w:p>
        </w:tc>
        <w:tc>
          <w:tcPr>
            <w:tcW w:type="dxa" w:w="4700"/>
            <w:tcMar>
              <w:top w:type="dxa" w:w="90"/>
              <w:left w:type="dxa" w:w="90"/>
              <w:bottom w:type="dxa" w:w="90"/>
              <w:right w:type="dxa" w:w="90"/>
            </w:tcMar>
            <w:vAlign w:val="center"/>
          </w:tcPr>
          <w:p>
            <w:r>
              <w:rPr>
                <w:b w:val="false"/>
                <w:bCs w:val="false"/>
                <w:sz w:val="18"/>
                <w:szCs w:val="18"/>
              </w:rPr>
              <w:t xml:space="preserve">Ventilateur 12 V</w:t>
            </w:r>
          </w:p>
        </w:tc>
        <w:tc>
          <w:tcPr>
            <w:tcW w:type="dxa" w:w="4600"/>
            <w:tcMar>
              <w:top w:type="dxa" w:w="90"/>
              <w:left w:type="dxa" w:w="90"/>
              <w:bottom w:type="dxa" w:w="90"/>
              <w:right w:type="dxa" w:w="90"/>
            </w:tcMar>
            <w:vAlign w:val="center"/>
          </w:tcPr>
          <w:p>
            <w:r>
              <w:rPr>
                <w:b w:val="false"/>
                <w:bCs w:val="false"/>
                <w:sz w:val="18"/>
                <w:szCs w:val="18"/>
              </w:rPr>
              <w:t xml:space="preserve">assure la ventilation forcée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6</w:t>
            </w:r>
          </w:p>
        </w:tc>
        <w:tc>
          <w:tcPr>
            <w:tcW w:type="dxa" w:w="4700"/>
            <w:tcMar>
              <w:top w:type="dxa" w:w="90"/>
              <w:left w:type="dxa" w:w="90"/>
              <w:bottom w:type="dxa" w:w="90"/>
              <w:right w:type="dxa" w:w="90"/>
            </w:tcMar>
            <w:vAlign w:val="center"/>
          </w:tcPr>
          <w:p>
            <w:r>
              <w:rPr>
                <w:b w:val="false"/>
                <w:bCs w:val="false"/>
                <w:sz w:val="18"/>
                <w:szCs w:val="18"/>
              </w:rPr>
              <w:t xml:space="preserve">Module de contrôle 2 moteurs</w:t>
            </w:r>
          </w:p>
        </w:tc>
        <w:tc>
          <w:tcPr>
            <w:tcW w:type="dxa" w:w="4600"/>
            <w:tcMar>
              <w:top w:type="dxa" w:w="90"/>
              <w:left w:type="dxa" w:w="90"/>
              <w:bottom w:type="dxa" w:w="90"/>
              <w:right w:type="dxa" w:w="90"/>
            </w:tcMar>
            <w:vAlign w:val="center"/>
          </w:tcPr>
          <w:p>
            <w:r>
              <w:rPr>
                <w:b w:val="false"/>
                <w:bCs w:val="false"/>
                <w:sz w:val="18"/>
                <w:szCs w:val="18"/>
              </w:rPr>
              <w:t xml:space="preserve">pilote le motoréducteur et la pompe/ventilateur</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7</w:t>
            </w:r>
          </w:p>
        </w:tc>
        <w:tc>
          <w:tcPr>
            <w:tcW w:type="dxa" w:w="4700"/>
            <w:tcMar>
              <w:top w:type="dxa" w:w="90"/>
              <w:left w:type="dxa" w:w="90"/>
              <w:bottom w:type="dxa" w:w="90"/>
              <w:right w:type="dxa" w:w="90"/>
            </w:tcMar>
            <w:vAlign w:val="center"/>
          </w:tcPr>
          <w:p>
            <w:r>
              <w:rPr>
                <w:b w:val="false"/>
                <w:bCs w:val="false"/>
                <w:sz w:val="18"/>
                <w:szCs w:val="18"/>
              </w:rPr>
              <w:t xml:space="preserve">Module de puissance (3 A / 24 V max)</w:t>
            </w:r>
          </w:p>
        </w:tc>
        <w:tc>
          <w:tcPr>
            <w:tcW w:type="dxa" w:w="4600"/>
            <w:tcMar>
              <w:top w:type="dxa" w:w="90"/>
              <w:left w:type="dxa" w:w="90"/>
              <w:bottom w:type="dxa" w:w="90"/>
              <w:right w:type="dxa" w:w="90"/>
            </w:tcMar>
            <w:vAlign w:val="center"/>
          </w:tcPr>
          <w:p>
            <w:r>
              <w:rPr>
                <w:b w:val="false"/>
                <w:bCs w:val="false"/>
                <w:sz w:val="18"/>
                <w:szCs w:val="18"/>
              </w:rPr>
              <w:t xml:space="preserve">alimente les éléments commandés, LED verte de statut</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8</w:t>
            </w:r>
          </w:p>
        </w:tc>
        <w:tc>
          <w:tcPr>
            <w:tcW w:type="dxa" w:w="4700"/>
            <w:tcMar>
              <w:top w:type="dxa" w:w="90"/>
              <w:left w:type="dxa" w:w="90"/>
              <w:bottom w:type="dxa" w:w="90"/>
              <w:right w:type="dxa" w:w="90"/>
            </w:tcMar>
            <w:vAlign w:val="center"/>
          </w:tcPr>
          <w:p>
            <w:r>
              <w:rPr>
                <w:b w:val="false"/>
                <w:bCs w:val="false"/>
                <w:sz w:val="18"/>
                <w:szCs w:val="18"/>
              </w:rPr>
              <w:t xml:space="preserve">Afficheur OLED 4 × 20 caractères (option BE-SER-OPAFFI)</w:t>
            </w:r>
          </w:p>
        </w:tc>
        <w:tc>
          <w:tcPr>
            <w:tcW w:type="dxa" w:w="4600"/>
            <w:tcMar>
              <w:top w:type="dxa" w:w="90"/>
              <w:left w:type="dxa" w:w="90"/>
              <w:bottom w:type="dxa" w:w="90"/>
              <w:right w:type="dxa" w:w="90"/>
            </w:tcMar>
            <w:vAlign w:val="center"/>
          </w:tcPr>
          <w:p>
            <w:r>
              <w:rPr>
                <w:b w:val="false"/>
                <w:bCs w:val="false"/>
                <w:sz w:val="18"/>
                <w:szCs w:val="18"/>
              </w:rPr>
              <w:t xml:space="preserve">affiche température, hygrométrie, alertes</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9</w:t>
            </w:r>
          </w:p>
        </w:tc>
        <w:tc>
          <w:tcPr>
            <w:tcW w:type="dxa" w:w="4700"/>
            <w:tcMar>
              <w:top w:type="dxa" w:w="90"/>
              <w:left w:type="dxa" w:w="90"/>
              <w:bottom w:type="dxa" w:w="90"/>
              <w:right w:type="dxa" w:w="90"/>
            </w:tcMar>
            <w:vAlign w:val="center"/>
          </w:tcPr>
          <w:p>
            <w:r>
              <w:rPr>
                <w:b w:val="false"/>
                <w:bCs w:val="false"/>
                <w:sz w:val="18"/>
                <w:szCs w:val="18"/>
              </w:rPr>
              <w:t xml:space="preserve">Module bouton-poussoir</w:t>
            </w:r>
          </w:p>
        </w:tc>
        <w:tc>
          <w:tcPr>
            <w:tcW w:type="dxa" w:w="4600"/>
            <w:tcMar>
              <w:top w:type="dxa" w:w="90"/>
              <w:left w:type="dxa" w:w="90"/>
              <w:bottom w:type="dxa" w:w="90"/>
              <w:right w:type="dxa" w:w="90"/>
            </w:tcMar>
            <w:vAlign w:val="center"/>
          </w:tcPr>
          <w:p>
            <w:r>
              <w:rPr>
                <w:b w:val="false"/>
                <w:bCs w:val="false"/>
                <w:sz w:val="18"/>
                <w:szCs w:val="18"/>
              </w:rPr>
              <w:t xml:space="preserve">fait défiler les informations sur l'afficheur</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10</w:t>
            </w:r>
          </w:p>
        </w:tc>
        <w:tc>
          <w:tcPr>
            <w:tcW w:type="dxa" w:w="4700"/>
            <w:tcMar>
              <w:top w:type="dxa" w:w="90"/>
              <w:left w:type="dxa" w:w="90"/>
              <w:bottom w:type="dxa" w:w="90"/>
              <w:right w:type="dxa" w:w="90"/>
            </w:tcMar>
            <w:vAlign w:val="center"/>
          </w:tcPr>
          <w:p>
            <w:r>
              <w:rPr>
                <w:b w:val="false"/>
                <w:bCs w:val="false"/>
                <w:sz w:val="18"/>
                <w:szCs w:val="18"/>
              </w:rPr>
              <w:t xml:space="preserve">Module microrupteur</w:t>
            </w:r>
          </w:p>
        </w:tc>
        <w:tc>
          <w:tcPr>
            <w:tcW w:type="dxa" w:w="4600"/>
            <w:tcMar>
              <w:top w:type="dxa" w:w="90"/>
              <w:left w:type="dxa" w:w="90"/>
              <w:bottom w:type="dxa" w:w="90"/>
              <w:right w:type="dxa" w:w="90"/>
            </w:tcMar>
            <w:vAlign w:val="center"/>
          </w:tcPr>
          <w:p>
            <w:r>
              <w:rPr>
                <w:b w:val="false"/>
                <w:bCs w:val="false"/>
                <w:sz w:val="18"/>
                <w:szCs w:val="18"/>
              </w:rPr>
              <w:t xml:space="preserve">détecte la position de la fenêtre (ouverte/fermée)</w:t>
            </w:r>
          </w:p>
        </w:tc>
      </w:tr>
      <w:tr>
        <w:trPr>
          <w:cantSplit w:val="false"/>
          <w:tblHeader w:val="false"/>
        </w:trPr>
        <w:tc>
          <w:tcPr>
            <w:tcW w:type="dxa" w:w="900"/>
            <w:shd w:fill="F2F2F2" w:val="clear"/>
            <w:tcMar>
              <w:top w:type="dxa" w:w="90"/>
              <w:left w:type="dxa" w:w="90"/>
              <w:bottom w:type="dxa" w:w="90"/>
              <w:right w:type="dxa" w:w="90"/>
            </w:tcMar>
            <w:vAlign w:val="center"/>
          </w:tcPr>
          <w:p>
            <w:r>
              <w:rPr>
                <w:b w:val="false"/>
                <w:bCs w:val="false"/>
                <w:sz w:val="18"/>
                <w:szCs w:val="18"/>
              </w:rPr>
              <w:t xml:space="preserve">11</w:t>
            </w:r>
          </w:p>
        </w:tc>
        <w:tc>
          <w:tcPr>
            <w:tcW w:type="dxa" w:w="4700"/>
            <w:tcMar>
              <w:top w:type="dxa" w:w="90"/>
              <w:left w:type="dxa" w:w="90"/>
              <w:bottom w:type="dxa" w:w="90"/>
              <w:right w:type="dxa" w:w="90"/>
            </w:tcMar>
            <w:vAlign w:val="center"/>
          </w:tcPr>
          <w:p>
            <w:r>
              <w:rPr>
                <w:b w:val="false"/>
                <w:bCs w:val="false"/>
                <w:sz w:val="18"/>
                <w:szCs w:val="18"/>
              </w:rPr>
              <w:t xml:space="preserve">Réservoir d'eau 1,25 L + goutteur</w:t>
            </w:r>
          </w:p>
        </w:tc>
        <w:tc>
          <w:tcPr>
            <w:tcW w:type="dxa" w:w="4600"/>
            <w:tcMar>
              <w:top w:type="dxa" w:w="90"/>
              <w:left w:type="dxa" w:w="90"/>
              <w:bottom w:type="dxa" w:w="90"/>
              <w:right w:type="dxa" w:w="90"/>
            </w:tcMar>
            <w:vAlign w:val="center"/>
          </w:tcPr>
          <w:p>
            <w:r>
              <w:rPr>
                <w:b w:val="false"/>
                <w:bCs w:val="false"/>
                <w:sz w:val="18"/>
                <w:szCs w:val="18"/>
              </w:rPr>
              <w:t xml:space="preserve">réserve et distribue l'eau d'arrosage</w:t>
            </w:r>
          </w:p>
        </w:tc>
      </w:tr>
    </w:tbl>
    <w:p>
      <w:pPr>
        <w:spacing w:after="120"/>
      </w:pPr>
      <w:r>
        <w:rPr>
          <w:i/>
          <w:iCs/>
          <w:sz w:val="19"/>
          <w:szCs w:val="19"/>
        </w:rPr>
        <w:t xml:space="preserve">Les modules de la mini-serre sont indépendants les uns des autres : chacun peut être suivi séparément depuis le capteur jusqu'à l'actionneur ou l'afficheur qu'il commande.</w:t>
      </w:r>
    </w:p>
    <w:sectPr>
      <w:footerReference w:type="default" r:id="rId7"/>
      <w:pgSz w:w="12240" w:h="15840"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i/>
        <w:iCs/>
        <w:color w:val="888888"/>
        <w:sz w:val="15"/>
        <w:szCs w:val="15"/>
      </w:rPr>
      <w:t xml:space="preserve">Annexe (non imprimée) + poste du binôme   |   Comment un objet peut-il percevoir un danger, décider seul, et prévenir — sans personne derrière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14" Type="http://schemas.openxmlformats.org/officeDocument/2006/relationships/image" Target="media/img_mini_serre.jp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2026-08-05T09:28:24.865Z</dcterms:created>
  <dcterms:modified xsi:type="dcterms:W3CDTF">2026-08-05T09:28:24.865Z</dcterms:modified>
</cp:coreProperties>
</file>

<file path=docProps/custom.xml><?xml version="1.0" encoding="utf-8"?>
<Properties xmlns="http://schemas.openxmlformats.org/officeDocument/2006/custom-properties" xmlns:vt="http://schemas.openxmlformats.org/officeDocument/2006/docPropsVTypes"/>
</file>