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center"/>
      </w:pPr>
      <w:r>
        <w:rPr>
          <w:b/>
          <w:bCs/>
          <w:color w:val="1E7A46"/>
          <w:sz w:val="40"/>
          <w:szCs w:val="40"/>
        </w:rPr>
        <w:t xml:space="preserve">TP — Le radier surveillé</w:t>
      </w:r>
    </w:p>
    <w:p>
      <w:pPr>
        <w:pBdr>
          <w:bottom w:val="single" w:color="4ADE80" w:sz="6" w:space="8"/>
        </w:pBdr>
        <w:spacing w:after="300"/>
        <w:jc w:val="center"/>
      </w:pPr>
      <w:r>
        <w:rPr>
          <w:i/>
          <w:iCs/>
          <w:color w:val="555555"/>
          <w:sz w:val="20"/>
          <w:szCs w:val="20"/>
        </w:rPr>
        <w:t xml:space="preserve">Terminale STI2D — Spécialité SIN — Séquence 1 — par binôme — 2 h 55</w:t>
      </w:r>
    </w:p>
    <w:p>
      <w:pPr>
        <w:spacing w:after="140"/>
        <w:jc w:val="right"/>
      </w:pPr>
      <w:r>
        <w:rPr>
          <w:i/>
          <w:iCs/>
          <w:color w:val="888888"/>
          <w:sz w:val="16"/>
          <w:szCs w:val="16"/>
        </w:rPr>
        <w:t xml:space="preserve">Dossier élève — 8 pages — pages 1 à 4 imprimées, la suite sur le poste du binôme</w:t>
      </w:r>
    </w:p>
    <w:p>
      <w:pPr>
        <w:pBdr>
          <w:top w:val="single" w:color="4ADE80" w:sz="8" w:space="8"/>
          <w:bottom w:val="single" w:color="4ADE80" w:sz="8" w:space="8"/>
          <w:left w:val="single" w:color="1E7A46" w:sz="18" w:space="10"/>
          <w:right w:val="single" w:color="EAF7F0" w:sz="2" w:space="10"/>
        </w:pBdr>
        <w:shd w:fill="EAF7F0" w:val="clear"/>
        <w:spacing w:after="220" w:before="120"/>
      </w:pPr>
      <w:r>
        <w:rPr>
          <w:b/>
          <w:bCs/>
          <w:color w:val="1E7A46"/>
          <w:sz w:val="26"/>
          <w:szCs w:val="26"/>
        </w:rPr>
        <w:t xml:space="preserve">Saurions-nous concevoir nous-mêmes la chaîne d'information d'un système qui n'existe pas encore ?</w:t>
      </w:r>
    </w:p>
    <w:tbl>
      <w:tblPr>
        <w:tblW w:type="dxa" w:w="102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8000"/>
      </w:tblGrid>
      <w:tr>
        <w:trPr>
          <w:cantSplit w:val="false"/>
          <w:tblHeader w:val="false"/>
        </w:trPr>
        <w:tc>
          <w:tcPr>
            <w:tcW w:type="dxa" w:w="10200"/>
            <w:gridSpan w:val="2"/>
            <w:shd w:fill="1E7A46" w:val="clear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Contrat de séance</w:t>
            </w:r>
          </w:p>
        </w:tc>
      </w:tr>
      <w:tr>
        <w:trPr>
          <w:cantSplit w:val="false"/>
          <w:tblHeader w:val="false"/>
        </w:trPr>
        <w:tc>
          <w:tcPr>
            <w:tcW w:type="dxa" w:w="2200"/>
            <w:shd w:fill="F2F2F2" w:val="clear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Objectif</w:t>
            </w:r>
          </w:p>
        </w:tc>
        <w:tc>
          <w:tcPr>
            <w:tcW w:type="dxa" w:w="80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Concevoir la chaîne d'information d'un système qui n'existe pas encore, à partir du besoin d'un commanditaire.</w:t>
            </w:r>
          </w:p>
        </w:tc>
      </w:tr>
      <w:tr>
        <w:trPr>
          <w:cantSplit w:val="false"/>
          <w:tblHeader w:val="false"/>
        </w:trPr>
        <w:tc>
          <w:tcPr>
            <w:tcW w:type="dxa" w:w="2200"/>
            <w:shd w:fill="F2F2F2" w:val="clear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Activité</w:t>
            </w:r>
          </w:p>
        </w:tc>
        <w:tc>
          <w:tcPr>
            <w:tcW w:type="dxa" w:w="80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Traduire huit exigences en fonctions, choisir un composant par exigence dans un catalogue, tracer le schéma-bloc, le faire vérifier par un autre binôme, puis l'adapter à un changement de commande.</w:t>
            </w:r>
          </w:p>
        </w:tc>
      </w:tr>
      <w:tr>
        <w:trPr>
          <w:cantSplit w:val="false"/>
          <w:tblHeader w:val="false"/>
        </w:trPr>
        <w:tc>
          <w:tcPr>
            <w:tcW w:type="dxa" w:w="2200"/>
            <w:shd w:fill="F2F2F2" w:val="clear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Rendu attendu</w:t>
            </w:r>
          </w:p>
        </w:tc>
        <w:tc>
          <w:tcPr>
            <w:tcW w:type="dxa" w:w="80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Une photo du schéma-bloc déposée en ligne avant la fin du créneau. Rendu de séance noté sur 20, coefficient 1 ; le dossier reste dans le classeur.</w:t>
            </w:r>
          </w:p>
        </w:tc>
      </w:tr>
      <w:tr>
        <w:trPr>
          <w:cantSplit w:val="false"/>
          <w:tblHeader w:val="false"/>
        </w:trPr>
        <w:tc>
          <w:tcPr>
            <w:tcW w:type="dxa" w:w="2200"/>
            <w:shd w:fill="F2F2F2" w:val="clear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Réussi si</w:t>
            </w:r>
          </w:p>
        </w:tc>
        <w:tc>
          <w:tcPr>
            <w:tcW w:type="dxa" w:w="80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Chaque exigence est reliée à une fonction, chaque bloc porte un composant réel, chaque flèche dit ce qu'elle transporte.</w:t>
            </w:r>
          </w:p>
        </w:tc>
      </w:tr>
    </w:tbl>
    <w:p>
      <w:pPr>
        <w:spacing w:after="100" w:before="200"/>
      </w:pPr>
      <w:r>
        <w:rPr>
          <w:b/>
          <w:bCs/>
          <w:color w:val="1E7A46"/>
          <w:sz w:val="26"/>
          <w:szCs w:val="26"/>
        </w:rPr>
        <w:t xml:space="preserve">Répartition des rôles (à faire maintenant)</w:t>
      </w:r>
    </w:p>
    <w:tbl>
      <w:tblPr>
        <w:tblW w:type="dxa" w:w="102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00"/>
        <w:gridCol w:w="5100"/>
        <w:gridCol w:w="2700"/>
      </w:tblGrid>
      <w:tr>
        <w:trPr>
          <w:cantSplit w:val="false"/>
          <w:tblHeader w:val="false"/>
        </w:trPr>
        <w:tc>
          <w:tcPr>
            <w:tcW w:type="dxa" w:w="2400"/>
            <w:shd w:fill="1E7A46" w:val="clear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Rôle</w:t>
            </w:r>
          </w:p>
        </w:tc>
        <w:tc>
          <w:tcPr>
            <w:tcW w:type="dxa" w:w="5100"/>
            <w:shd w:fill="1E7A46" w:val="clear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Ce qu'il fait</w:t>
            </w:r>
          </w:p>
        </w:tc>
        <w:tc>
          <w:tcPr>
            <w:tcW w:type="dxa" w:w="2700"/>
            <w:shd w:fill="1E7A46" w:val="clear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Prénom</w:t>
            </w:r>
          </w:p>
        </w:tc>
      </w:tr>
      <w:tr>
        <w:trPr>
          <w:cantSplit w:val="false"/>
          <w:tblHeader w:val="false"/>
        </w:trPr>
        <w:tc>
          <w:tcPr>
            <w:tcW w:type="dxa" w:w="2400"/>
            <w:shd w:fill="F2F2F2" w:val="clear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Pilote — Documentaliste</w:t>
            </w:r>
          </w:p>
        </w:tc>
        <w:tc>
          <w:tcPr>
            <w:tcW w:type="dxa" w:w="51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tient la consigne et le temps, cherche dans les ressources</w:t>
            </w:r>
          </w:p>
        </w:tc>
        <w:tc>
          <w:tcPr>
            <w:tcW w:type="dxa" w:w="27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rPr>
          <w:cantSplit w:val="false"/>
          <w:tblHeader w:val="false"/>
        </w:trPr>
        <w:tc>
          <w:tcPr>
            <w:tcW w:type="dxa" w:w="2400"/>
            <w:shd w:fill="F2F2F2" w:val="clear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Rédacteur — Porte-parole</w:t>
            </w:r>
          </w:p>
        </w:tc>
        <w:tc>
          <w:tcPr>
            <w:tcW w:type="dxa" w:w="51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tient le clavier, présente le travail à la classe</w:t>
            </w:r>
          </w:p>
        </w:tc>
        <w:tc>
          <w:tcPr>
            <w:tcW w:type="dxa" w:w="27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100" w:before="200"/>
      </w:pPr>
      <w:r>
        <w:rPr>
          <w:b/>
          <w:bCs/>
          <w:color w:val="1E7A46"/>
          <w:sz w:val="26"/>
          <w:szCs w:val="26"/>
        </w:rPr>
        <w:t xml:space="preserve">La commande</w:t>
      </w:r>
    </w:p>
    <w:p>
      <w:pPr>
        <w:spacing w:after="80"/>
      </w:pPr>
      <w:r>
        <w:rPr>
          <w:sz w:val="19"/>
          <w:szCs w:val="19"/>
        </w:rPr>
        <w:t xml:space="preserve">Un radier est un passage routier bas qui franchit une ravine à même le lit du cours d'eau : sous forte pluie, il peut être submergé en quelques minutes. Une intercommunalité veut équiper un radier isolé d'un dispositif autonome de mise en sécurité. Ce dispositif n'existe pas : c'est vous qui le concevez.</w:t>
      </w:r>
    </w:p>
    <w:tbl>
      <w:tblPr>
        <w:tblW w:type="dxa" w:w="102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9300"/>
      </w:tblGrid>
      <w:tr>
        <w:trPr>
          <w:cantSplit w:val="false"/>
          <w:tblHeader w:val="false"/>
        </w:trPr>
        <w:tc>
          <w:tcPr>
            <w:tcW w:type="dxa" w:w="900"/>
            <w:shd w:fill="1E7A46" w:val="clear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Repère</w:t>
            </w:r>
          </w:p>
        </w:tc>
        <w:tc>
          <w:tcPr>
            <w:tcW w:type="dxa" w:w="9300"/>
            <w:shd w:fill="1E7A46" w:val="clear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Ce que le client demande</w:t>
            </w:r>
          </w:p>
        </w:tc>
      </w:tr>
      <w:tr>
        <w:trPr>
          <w:cantSplit w:val="false"/>
          <w:tblHeader w:val="false"/>
        </w:trPr>
        <w:tc>
          <w:tcPr>
            <w:tcW w:type="dxa" w:w="900"/>
            <w:shd w:fill="F2F2F2" w:val="clear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E1</w:t>
            </w:r>
          </w:p>
        </w:tc>
        <w:tc>
          <w:tcPr>
            <w:tcW w:type="dxa" w:w="93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Mesurer en permanence la hauteur d'eau sur le radier.</w:t>
            </w:r>
          </w:p>
        </w:tc>
      </w:tr>
      <w:tr>
        <w:trPr>
          <w:cantSplit w:val="false"/>
          <w:tblHeader w:val="false"/>
        </w:trPr>
        <w:tc>
          <w:tcPr>
            <w:tcW w:type="dxa" w:w="900"/>
            <w:shd w:fill="F2F2F2" w:val="clear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E2</w:t>
            </w:r>
          </w:p>
        </w:tc>
        <w:tc>
          <w:tcPr>
            <w:tcW w:type="dxa" w:w="93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Mesurer l'intensité de la pluie en amont du radier, pour anticiper une montée rapide.</w:t>
            </w:r>
          </w:p>
        </w:tc>
      </w:tr>
      <w:tr>
        <w:trPr>
          <w:cantSplit w:val="false"/>
          <w:tblHeader w:val="false"/>
        </w:trPr>
        <w:tc>
          <w:tcPr>
            <w:tcW w:type="dxa" w:w="900"/>
            <w:shd w:fill="F2F2F2" w:val="clear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E3</w:t>
            </w:r>
          </w:p>
        </w:tc>
        <w:tc>
          <w:tcPr>
            <w:tcW w:type="dxa" w:w="93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Permettre à un agent de la commune de forcer la mise en sécurité depuis son véhicule, sans descendre.</w:t>
            </w:r>
          </w:p>
        </w:tc>
      </w:tr>
      <w:tr>
        <w:trPr>
          <w:cantSplit w:val="false"/>
          <w:tblHeader w:val="false"/>
        </w:trPr>
        <w:tc>
          <w:tcPr>
            <w:tcW w:type="dxa" w:w="900"/>
            <w:shd w:fill="F2F2F2" w:val="clear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E4</w:t>
            </w:r>
          </w:p>
        </w:tc>
        <w:tc>
          <w:tcPr>
            <w:tcW w:type="dxa" w:w="93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Décider seul, sur place, si le passage est devenu dangereux — sans attendre l'avis de quiconque.</w:t>
            </w:r>
          </w:p>
        </w:tc>
      </w:tr>
      <w:tr>
        <w:trPr>
          <w:cantSplit w:val="false"/>
          <w:tblHeader w:val="false"/>
        </w:trPr>
        <w:tc>
          <w:tcPr>
            <w:tcW w:type="dxa" w:w="900"/>
            <w:shd w:fill="F2F2F2" w:val="clear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E5</w:t>
            </w:r>
          </w:p>
        </w:tc>
        <w:tc>
          <w:tcPr>
            <w:tcW w:type="dxa" w:w="93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Prévenir l'automobiliste qui approche, de jour comme de nuit, que le passage est interdit.</w:t>
            </w:r>
          </w:p>
        </w:tc>
      </w:tr>
      <w:tr>
        <w:trPr>
          <w:cantSplit w:val="false"/>
          <w:tblHeader w:val="false"/>
        </w:trPr>
        <w:tc>
          <w:tcPr>
            <w:tcW w:type="dxa" w:w="900"/>
            <w:shd w:fill="F2F2F2" w:val="clear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E6</w:t>
            </w:r>
          </w:p>
        </w:tc>
        <w:tc>
          <w:tcPr>
            <w:tcW w:type="dxa" w:w="93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Abaisser une barrière à chaque extrémité du radier.</w:t>
            </w:r>
          </w:p>
        </w:tc>
      </w:tr>
      <w:tr>
        <w:trPr>
          <w:cantSplit w:val="false"/>
          <w:tblHeader w:val="false"/>
        </w:trPr>
        <w:tc>
          <w:tcPr>
            <w:tcW w:type="dxa" w:w="900"/>
            <w:shd w:fill="F2F2F2" w:val="clear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E7</w:t>
            </w:r>
          </w:p>
        </w:tc>
        <w:tc>
          <w:tcPr>
            <w:tcW w:type="dxa" w:w="93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Transmettre l'état du radier au poste de commandement de l'intercommunalité.</w:t>
            </w:r>
          </w:p>
        </w:tc>
      </w:tr>
      <w:tr>
        <w:trPr>
          <w:cantSplit w:val="false"/>
          <w:tblHeader w:val="false"/>
        </w:trPr>
        <w:tc>
          <w:tcPr>
            <w:tcW w:type="dxa" w:w="900"/>
            <w:shd w:fill="F2F2F2" w:val="clear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E8</w:t>
            </w:r>
          </w:p>
        </w:tc>
        <w:tc>
          <w:tcPr>
            <w:tcW w:type="dxa" w:w="93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Fonctionner sans raccordement au réseau électrique.</w:t>
            </w:r>
          </w:p>
        </w:tc>
      </w:tr>
    </w:tbl>
    <w:p>
      <w:pPr>
        <w:spacing w:after="100" w:before="200"/>
      </w:pPr>
      <w:r>
        <w:rPr>
          <w:b/>
          <w:bCs/>
          <w:color w:val="1E7A46"/>
          <w:sz w:val="26"/>
          <w:szCs w:val="26"/>
        </w:rPr>
        <w:t xml:space="preserve">Votre minutage</w:t>
      </w:r>
    </w:p>
    <w:p>
      <w:pPr>
        <w:spacing w:after="100" w:before="0"/>
      </w:pPr>
      <w:r>
        <w:rPr>
          <w:b/>
          <w:bCs/>
          <w:sz w:val="19"/>
          <w:szCs w:val="19"/>
        </w:rPr>
        <w:t xml:space="preserve">La commande </w:t>
      </w:r>
      <w:r>
        <w:rPr>
          <w:sz w:val="19"/>
          <w:szCs w:val="19"/>
        </w:rPr>
        <w:t xml:space="preserve">12 min  ·  </w:t>
      </w:r>
      <w:r>
        <w:rPr>
          <w:b/>
          <w:bCs/>
          <w:sz w:val="19"/>
          <w:szCs w:val="19"/>
        </w:rPr>
        <w:t xml:space="preserve">Rôles et prise en main </w:t>
      </w:r>
      <w:r>
        <w:rPr>
          <w:sz w:val="19"/>
          <w:szCs w:val="19"/>
        </w:rPr>
        <w:t xml:space="preserve">8 min  ·  </w:t>
      </w:r>
      <w:r>
        <w:rPr>
          <w:b/>
          <w:bCs/>
          <w:sz w:val="19"/>
          <w:szCs w:val="19"/>
        </w:rPr>
        <w:t xml:space="preserve">Étape 1 — Traduire </w:t>
      </w:r>
      <w:r>
        <w:rPr>
          <w:sz w:val="19"/>
          <w:szCs w:val="19"/>
        </w:rPr>
        <w:t xml:space="preserve">42 min  ·  </w:t>
      </w:r>
      <w:r>
        <w:rPr>
          <w:b/>
          <w:bCs/>
          <w:sz w:val="19"/>
          <w:szCs w:val="19"/>
        </w:rPr>
        <w:t xml:space="preserve">Point d'étape </w:t>
      </w:r>
      <w:r>
        <w:rPr>
          <w:sz w:val="19"/>
          <w:szCs w:val="19"/>
        </w:rPr>
        <w:t xml:space="preserve">13 min  ·  </w:t>
      </w:r>
      <w:r>
        <w:rPr>
          <w:b/>
          <w:bCs/>
          <w:sz w:val="19"/>
          <w:szCs w:val="19"/>
        </w:rPr>
        <w:t xml:space="preserve">Récréation </w:t>
      </w:r>
      <w:r>
        <w:rPr>
          <w:sz w:val="19"/>
          <w:szCs w:val="19"/>
        </w:rPr>
        <w:t xml:space="preserve">20 min  ·  </w:t>
      </w:r>
      <w:r>
        <w:rPr>
          <w:b/>
          <w:bCs/>
          <w:sz w:val="19"/>
          <w:szCs w:val="19"/>
        </w:rPr>
        <w:t xml:space="preserve">Étape 2 — Concevoir </w:t>
      </w:r>
      <w:r>
        <w:rPr>
          <w:sz w:val="19"/>
          <w:szCs w:val="19"/>
        </w:rPr>
        <w:t xml:space="preserve">45 min  ·  </w:t>
      </w:r>
      <w:r>
        <w:rPr>
          <w:b/>
          <w:bCs/>
          <w:sz w:val="19"/>
          <w:szCs w:val="19"/>
        </w:rPr>
        <w:t xml:space="preserve">Étape 3 — Vérifier </w:t>
      </w:r>
      <w:r>
        <w:rPr>
          <w:sz w:val="19"/>
          <w:szCs w:val="19"/>
        </w:rPr>
        <w:t xml:space="preserve">15 min  ·  </w:t>
      </w:r>
      <w:r>
        <w:rPr>
          <w:b/>
          <w:bCs/>
          <w:sz w:val="19"/>
          <w:szCs w:val="19"/>
        </w:rPr>
        <w:t xml:space="preserve">Étape 4 — Le client change d'avis </w:t>
      </w:r>
      <w:r>
        <w:rPr>
          <w:sz w:val="19"/>
          <w:szCs w:val="19"/>
        </w:rPr>
        <w:t xml:space="preserve">13 min  ·  </w:t>
      </w:r>
      <w:r>
        <w:rPr>
          <w:b/>
          <w:bCs/>
          <w:sz w:val="19"/>
          <w:szCs w:val="19"/>
        </w:rPr>
        <w:t xml:space="preserve">Restitution et dépôt </w:t>
      </w:r>
      <w:r>
        <w:rPr>
          <w:sz w:val="19"/>
          <w:szCs w:val="19"/>
        </w:rPr>
        <w:t xml:space="preserve">7 min  —  soit 175 min.</w:t>
      </w:r>
    </w:p>
    <w:p>
      <w:pPr>
        <w:pageBreakBefore/>
        <w:spacing w:after="100" w:before="200"/>
      </w:pPr>
      <w:r>
        <w:rPr>
          <w:b/>
          <w:bCs/>
          <w:color w:val="1E7A46"/>
          <w:sz w:val="26"/>
          <w:szCs w:val="26"/>
        </w:rPr>
        <w:t xml:space="preserve">Étape 1 — Traduire le besoin  (42 min)</w:t>
      </w:r>
    </w:p>
    <w:tbl>
      <w:tblPr>
        <w:tblW w:type="dxa" w:w="102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200"/>
      </w:tblGrid>
      <w:tr>
        <w:trPr>
          <w:cantSplit w:val="false"/>
          <w:tblHeader w:val="false"/>
        </w:trPr>
        <w:tc>
          <w:tcPr>
            <w:tcW w:type="dxa" w:w="10200"/>
            <w:shd w:fill="F2F2F2" w:val="clear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pPr>
              <w:spacing w:after="60"/>
            </w:pPr>
            <w:r>
              <w:rPr>
                <w:sz w:val="19"/>
                <w:szCs w:val="19"/>
              </w:rPr>
              <w:t xml:space="preserve">Le client parle de ce qu'il veut obtenir. Vous devez dire par quelle fonction cela passe, et avec quel composant du catalogue.</w:t>
            </w:r>
          </w:p>
        </w:tc>
      </w:tr>
    </w:tbl>
    <w:p>
      <w:pPr>
        <w:spacing w:after="60" w:before="140"/>
      </w:pPr>
      <w:r>
        <w:rPr>
          <w:b/>
          <w:bCs/>
          <w:color w:val="1E7A46"/>
          <w:sz w:val="20"/>
          <w:szCs w:val="20"/>
        </w:rPr>
        <w:t xml:space="preserve">1. </w:t>
      </w:r>
      <w:r>
        <w:rPr>
          <w:b/>
          <w:bCs/>
          <w:sz w:val="20"/>
          <w:szCs w:val="20"/>
        </w:rPr>
        <w:t xml:space="preserve">Reformuler</w:t>
      </w:r>
      <w:r>
        <w:rPr>
          <w:sz w:val="20"/>
          <w:szCs w:val="20"/>
        </w:rPr>
        <w:t xml:space="preserve"> en une phrase à quoi sert ce système et pour qui.</w:t>
      </w:r>
    </w:p>
    <w:tbl>
      <w:tblPr>
        <w:tblW w:type="dxa" w:w="102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200"/>
      </w:tblGrid>
      <w:tr>
        <w:trPr>
          <w:cantSplit w:val="false"/>
          <w:tblHeader w:val="false"/>
        </w:trPr>
        <w:tc>
          <w:tcPr>
            <w:tcW w:type="dxa" w:w="102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pPr>
              <w:pBdr>
                <w:bottom w:val="single" w:color="CDCDCD" w:sz="4" w:space="2"/>
              </w:pBdr>
              <w:spacing w:after="110" w:before="11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pBdr>
                <w:bottom w:val="single" w:color="CCCCCC" w:sz="4" w:space="2"/>
              </w:pBdr>
              <w:spacing w:after="110" w:before="110"/>
            </w:pPr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60" w:before="140"/>
      </w:pPr>
      <w:r>
        <w:rPr>
          <w:b/>
          <w:bCs/>
          <w:color w:val="1E7A46"/>
          <w:sz w:val="20"/>
          <w:szCs w:val="20"/>
        </w:rPr>
        <w:t xml:space="preserve">2. </w:t>
      </w:r>
      <w:r>
        <w:rPr>
          <w:b/>
          <w:bCs/>
          <w:sz w:val="20"/>
          <w:szCs w:val="20"/>
        </w:rPr>
        <w:t xml:space="preserve">Classer</w:t>
      </w:r>
      <w:r>
        <w:rPr>
          <w:sz w:val="20"/>
          <w:szCs w:val="20"/>
        </w:rPr>
        <w:t xml:space="preserve"> chacune des huit exigences dans une fonction de la chaîne d'information : Acquérir, Traiter ou Communiquer.</w:t>
      </w:r>
    </w:p>
    <w:p>
      <w:pPr>
        <w:spacing w:after="60" w:before="140"/>
      </w:pPr>
      <w:r>
        <w:rPr>
          <w:b/>
          <w:bCs/>
          <w:color w:val="1E7A46"/>
          <w:sz w:val="20"/>
          <w:szCs w:val="20"/>
        </w:rPr>
        <w:t xml:space="preserve">3. </w:t>
      </w:r>
      <w:r>
        <w:rPr>
          <w:b/>
          <w:bCs/>
          <w:sz w:val="20"/>
          <w:szCs w:val="20"/>
        </w:rPr>
        <w:t xml:space="preserve">Préciser</w:t>
      </w:r>
      <w:r>
        <w:rPr>
          <w:sz w:val="20"/>
          <w:szCs w:val="20"/>
        </w:rPr>
        <w:t xml:space="preserve"> pour toute exigence classée dans Communiquer le destinataire atteint — l'utilisateur ou la chaîne d'énergie — et le moyen de transmission employé s'il y en a un.</w:t>
      </w:r>
    </w:p>
    <w:p>
      <w:pPr>
        <w:spacing w:after="60" w:before="140"/>
      </w:pPr>
      <w:r>
        <w:rPr>
          <w:b/>
          <w:bCs/>
          <w:color w:val="1E7A46"/>
          <w:sz w:val="20"/>
          <w:szCs w:val="20"/>
        </w:rPr>
        <w:t xml:space="preserve">4. </w:t>
      </w:r>
      <w:r>
        <w:rPr>
          <w:b/>
          <w:bCs/>
          <w:sz w:val="20"/>
          <w:szCs w:val="20"/>
        </w:rPr>
        <w:t xml:space="preserve">Choisir</w:t>
      </w:r>
      <w:r>
        <w:rPr>
          <w:sz w:val="20"/>
          <w:szCs w:val="20"/>
        </w:rPr>
        <w:t xml:space="preserve"> dans le catalogue en ligne le composant qui répond à l'exigence, et l'écrire par son repère.</w:t>
      </w:r>
    </w:p>
    <w:p>
      <w:pPr>
        <w:spacing w:after="60" w:before="140"/>
      </w:pPr>
      <w:r>
        <w:rPr>
          <w:b/>
          <w:bCs/>
          <w:color w:val="1E7A46"/>
          <w:sz w:val="20"/>
          <w:szCs w:val="20"/>
        </w:rPr>
        <w:t xml:space="preserve">5. </w:t>
      </w:r>
      <w:r>
        <w:rPr>
          <w:b/>
          <w:bCs/>
          <w:sz w:val="20"/>
          <w:szCs w:val="20"/>
        </w:rPr>
        <w:t xml:space="preserve">Justifier</w:t>
      </w:r>
      <w:r>
        <w:rPr>
          <w:sz w:val="20"/>
          <w:szCs w:val="20"/>
        </w:rPr>
        <w:t xml:space="preserve"> chaque choix par une caractéristique lue dans le catalogue, pas par une impression.</w:t>
      </w:r>
    </w:p>
    <w:p>
      <w:pPr>
        <w:spacing w:after="120"/>
      </w:pPr>
      <w:r>
        <w:rPr>
          <w:i/>
          <w:iCs/>
          <w:sz w:val="19"/>
          <w:szCs w:val="19"/>
        </w:rPr>
        <w:t xml:space="preserve">Une exigence peut ne relever d'aucune des trois fonctions. Dans ce cas, écrivez-le et dites pourquoi.</w:t>
      </w:r>
    </w:p>
    <w:tbl>
      <w:tblPr>
        <w:tblW w:type="dxa" w:w="102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800"/>
        <w:gridCol w:w="1700"/>
        <w:gridCol w:w="2500"/>
        <w:gridCol w:w="1400"/>
        <w:gridCol w:w="3800"/>
      </w:tblGrid>
      <w:tr>
        <w:trPr>
          <w:cantSplit w:val="false"/>
          <w:tblHeader w:val="false"/>
        </w:trPr>
        <w:tc>
          <w:tcPr>
            <w:tcW w:type="dxa" w:w="800"/>
            <w:shd w:fill="1E7A46" w:val="clear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Repère</w:t>
            </w:r>
          </w:p>
        </w:tc>
        <w:tc>
          <w:tcPr>
            <w:tcW w:type="dxa" w:w="1700"/>
            <w:shd w:fill="1E7A46" w:val="clear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Fonction</w:t>
            </w:r>
          </w:p>
        </w:tc>
        <w:tc>
          <w:tcPr>
            <w:tcW w:type="dxa" w:w="2500"/>
            <w:shd w:fill="1E7A46" w:val="clear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Destinataire / moyen de transmission</w:t>
            </w:r>
          </w:p>
        </w:tc>
        <w:tc>
          <w:tcPr>
            <w:tcW w:type="dxa" w:w="1400"/>
            <w:shd w:fill="1E7A46" w:val="clear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Composant</w:t>
            </w:r>
          </w:p>
        </w:tc>
        <w:tc>
          <w:tcPr>
            <w:tcW w:type="dxa" w:w="3800"/>
            <w:shd w:fill="1E7A46" w:val="clear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Justification (une caractéristique du catalogue)</w:t>
            </w:r>
          </w:p>
        </w:tc>
      </w:tr>
      <w:tr>
        <w:trPr>
          <w:cantSplit w:val="false"/>
          <w:tblHeader w:val="false"/>
        </w:trPr>
        <w:tc>
          <w:tcPr>
            <w:tcW w:type="dxa" w:w="800"/>
            <w:shd w:fill="F2F2F2" w:val="clear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E1</w:t>
            </w:r>
          </w:p>
        </w:tc>
        <w:tc>
          <w:tcPr>
            <w:tcW w:type="dxa" w:w="17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sz w:val="20"/>
                <w:szCs w:val="20"/>
              </w:rPr>
              <w:t xml:space="preserve"/>
            </w:r>
          </w:p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5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sz w:val="20"/>
                <w:szCs w:val="20"/>
              </w:rPr>
              <w:t xml:space="preserve"/>
            </w:r>
          </w:p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sz w:val="20"/>
                <w:szCs w:val="20"/>
              </w:rPr>
              <w:t xml:space="preserve"/>
            </w:r>
          </w:p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38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sz w:val="20"/>
                <w:szCs w:val="20"/>
              </w:rPr>
              <w:t xml:space="preserve"/>
            </w:r>
          </w:p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rPr>
          <w:cantSplit w:val="false"/>
          <w:tblHeader w:val="false"/>
        </w:trPr>
        <w:tc>
          <w:tcPr>
            <w:tcW w:type="dxa" w:w="800"/>
            <w:shd w:fill="F2F2F2" w:val="clear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E2</w:t>
            </w:r>
          </w:p>
        </w:tc>
        <w:tc>
          <w:tcPr>
            <w:tcW w:type="dxa" w:w="17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sz w:val="20"/>
                <w:szCs w:val="20"/>
              </w:rPr>
              <w:t xml:space="preserve"/>
            </w:r>
          </w:p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5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sz w:val="20"/>
                <w:szCs w:val="20"/>
              </w:rPr>
              <w:t xml:space="preserve"/>
            </w:r>
          </w:p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sz w:val="20"/>
                <w:szCs w:val="20"/>
              </w:rPr>
              <w:t xml:space="preserve"/>
            </w:r>
          </w:p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38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sz w:val="20"/>
                <w:szCs w:val="20"/>
              </w:rPr>
              <w:t xml:space="preserve"/>
            </w:r>
          </w:p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rPr>
          <w:cantSplit w:val="false"/>
          <w:tblHeader w:val="false"/>
        </w:trPr>
        <w:tc>
          <w:tcPr>
            <w:tcW w:type="dxa" w:w="800"/>
            <w:shd w:fill="F2F2F2" w:val="clear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E3</w:t>
            </w:r>
          </w:p>
        </w:tc>
        <w:tc>
          <w:tcPr>
            <w:tcW w:type="dxa" w:w="17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sz w:val="20"/>
                <w:szCs w:val="20"/>
              </w:rPr>
              <w:t xml:space="preserve"/>
            </w:r>
          </w:p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5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sz w:val="20"/>
                <w:szCs w:val="20"/>
              </w:rPr>
              <w:t xml:space="preserve"/>
            </w:r>
          </w:p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sz w:val="20"/>
                <w:szCs w:val="20"/>
              </w:rPr>
              <w:t xml:space="preserve"/>
            </w:r>
          </w:p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38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sz w:val="20"/>
                <w:szCs w:val="20"/>
              </w:rPr>
              <w:t xml:space="preserve"/>
            </w:r>
          </w:p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rPr>
          <w:cantSplit w:val="false"/>
          <w:tblHeader w:val="false"/>
        </w:trPr>
        <w:tc>
          <w:tcPr>
            <w:tcW w:type="dxa" w:w="800"/>
            <w:shd w:fill="F2F2F2" w:val="clear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E4</w:t>
            </w:r>
          </w:p>
        </w:tc>
        <w:tc>
          <w:tcPr>
            <w:tcW w:type="dxa" w:w="17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sz w:val="20"/>
                <w:szCs w:val="20"/>
              </w:rPr>
              <w:t xml:space="preserve"/>
            </w:r>
          </w:p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5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sz w:val="20"/>
                <w:szCs w:val="20"/>
              </w:rPr>
              <w:t xml:space="preserve"/>
            </w:r>
          </w:p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sz w:val="20"/>
                <w:szCs w:val="20"/>
              </w:rPr>
              <w:t xml:space="preserve"/>
            </w:r>
          </w:p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38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sz w:val="20"/>
                <w:szCs w:val="20"/>
              </w:rPr>
              <w:t xml:space="preserve"/>
            </w:r>
          </w:p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rPr>
          <w:cantSplit w:val="false"/>
          <w:tblHeader w:val="false"/>
        </w:trPr>
        <w:tc>
          <w:tcPr>
            <w:tcW w:type="dxa" w:w="800"/>
            <w:shd w:fill="F2F2F2" w:val="clear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E5</w:t>
            </w:r>
          </w:p>
        </w:tc>
        <w:tc>
          <w:tcPr>
            <w:tcW w:type="dxa" w:w="17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sz w:val="20"/>
                <w:szCs w:val="20"/>
              </w:rPr>
              <w:t xml:space="preserve"/>
            </w:r>
          </w:p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5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sz w:val="20"/>
                <w:szCs w:val="20"/>
              </w:rPr>
              <w:t xml:space="preserve"/>
            </w:r>
          </w:p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sz w:val="20"/>
                <w:szCs w:val="20"/>
              </w:rPr>
              <w:t xml:space="preserve"/>
            </w:r>
          </w:p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38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sz w:val="20"/>
                <w:szCs w:val="20"/>
              </w:rPr>
              <w:t xml:space="preserve"/>
            </w:r>
          </w:p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rPr>
          <w:cantSplit w:val="false"/>
          <w:tblHeader w:val="false"/>
        </w:trPr>
        <w:tc>
          <w:tcPr>
            <w:tcW w:type="dxa" w:w="800"/>
            <w:shd w:fill="F2F2F2" w:val="clear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E6</w:t>
            </w:r>
          </w:p>
        </w:tc>
        <w:tc>
          <w:tcPr>
            <w:tcW w:type="dxa" w:w="17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sz w:val="20"/>
                <w:szCs w:val="20"/>
              </w:rPr>
              <w:t xml:space="preserve"/>
            </w:r>
          </w:p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5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sz w:val="20"/>
                <w:szCs w:val="20"/>
              </w:rPr>
              <w:t xml:space="preserve"/>
            </w:r>
          </w:p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sz w:val="20"/>
                <w:szCs w:val="20"/>
              </w:rPr>
              <w:t xml:space="preserve"/>
            </w:r>
          </w:p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38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sz w:val="20"/>
                <w:szCs w:val="20"/>
              </w:rPr>
              <w:t xml:space="preserve"/>
            </w:r>
          </w:p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rPr>
          <w:cantSplit w:val="false"/>
          <w:tblHeader w:val="false"/>
        </w:trPr>
        <w:tc>
          <w:tcPr>
            <w:tcW w:type="dxa" w:w="800"/>
            <w:shd w:fill="F2F2F2" w:val="clear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E7</w:t>
            </w:r>
          </w:p>
        </w:tc>
        <w:tc>
          <w:tcPr>
            <w:tcW w:type="dxa" w:w="17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sz w:val="20"/>
                <w:szCs w:val="20"/>
              </w:rPr>
              <w:t xml:space="preserve"/>
            </w:r>
          </w:p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5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sz w:val="20"/>
                <w:szCs w:val="20"/>
              </w:rPr>
              <w:t xml:space="preserve"/>
            </w:r>
          </w:p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sz w:val="20"/>
                <w:szCs w:val="20"/>
              </w:rPr>
              <w:t xml:space="preserve"/>
            </w:r>
          </w:p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38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sz w:val="20"/>
                <w:szCs w:val="20"/>
              </w:rPr>
              <w:t xml:space="preserve"/>
            </w:r>
          </w:p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rPr>
          <w:cantSplit w:val="false"/>
          <w:tblHeader w:val="false"/>
        </w:trPr>
        <w:tc>
          <w:tcPr>
            <w:tcW w:type="dxa" w:w="800"/>
            <w:shd w:fill="F2F2F2" w:val="clear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E8</w:t>
            </w:r>
          </w:p>
        </w:tc>
        <w:tc>
          <w:tcPr>
            <w:tcW w:type="dxa" w:w="17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sz w:val="20"/>
                <w:szCs w:val="20"/>
              </w:rPr>
              <w:t xml:space="preserve"/>
            </w:r>
          </w:p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5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sz w:val="20"/>
                <w:szCs w:val="20"/>
              </w:rPr>
              <w:t xml:space="preserve"/>
            </w:r>
          </w:p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sz w:val="20"/>
                <w:szCs w:val="20"/>
              </w:rPr>
              <w:t xml:space="preserve"/>
            </w:r>
          </w:p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38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sz w:val="20"/>
                <w:szCs w:val="20"/>
              </w:rPr>
              <w:t xml:space="preserve"/>
            </w:r>
          </w:p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80" w:before="150"/>
      </w:pPr>
      <w:r>
        <w:rPr>
          <w:b/>
          <w:bCs/>
          <w:color w:val="1E7A46"/>
          <w:sz w:val="22"/>
          <w:szCs w:val="22"/>
        </w:rPr>
        <w:t xml:space="preserve">Point d'étape (13 min) — ce que nous avions mal placé</w:t>
      </w:r>
    </w:p>
    <w:tbl>
      <w:tblPr>
        <w:tblW w:type="dxa" w:w="102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200"/>
      </w:tblGrid>
      <w:tr>
        <w:trPr>
          <w:cantSplit w:val="false"/>
          <w:tblHeader w:val="false"/>
        </w:trPr>
        <w:tc>
          <w:tcPr>
            <w:tcW w:type="dxa" w:w="102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pPr>
              <w:pBdr>
                <w:bottom w:val="single" w:color="CDCDCD" w:sz="4" w:space="2"/>
              </w:pBdr>
              <w:spacing w:after="110" w:before="11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pBdr>
                <w:bottom w:val="single" w:color="CCCCCC" w:sz="4" w:space="2"/>
              </w:pBdr>
              <w:spacing w:after="110" w:before="11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pBdr>
                <w:bottom w:val="single" w:color="CDCDCD" w:sz="4" w:space="2"/>
              </w:pBdr>
              <w:spacing w:after="110" w:before="11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pBdr>
                <w:bottom w:val="single" w:color="CCCCCC" w:sz="4" w:space="2"/>
              </w:pBdr>
              <w:spacing w:after="110" w:before="110"/>
            </w:pPr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pageBreakBefore/>
        <w:spacing w:after="100" w:before="200"/>
      </w:pPr>
      <w:r>
        <w:rPr>
          <w:b/>
          <w:bCs/>
          <w:color w:val="1E7A46"/>
          <w:sz w:val="26"/>
          <w:szCs w:val="26"/>
        </w:rPr>
        <w:t xml:space="preserve">Étape 2 — Concevoir le schéma-bloc  (45 min)</w:t>
      </w:r>
    </w:p>
    <w:p>
      <w:pPr>
        <w:spacing w:after="60" w:before="140"/>
      </w:pPr>
      <w:r>
        <w:rPr>
          <w:b/>
          <w:bCs/>
          <w:color w:val="1E7A46"/>
          <w:sz w:val="20"/>
          <w:szCs w:val="20"/>
        </w:rPr>
        <w:t xml:space="preserve">6. </w:t>
      </w:r>
      <w:r>
        <w:rPr>
          <w:b/>
          <w:bCs/>
          <w:sz w:val="20"/>
          <w:szCs w:val="20"/>
        </w:rPr>
        <w:t xml:space="preserve">Tracer</w:t>
      </w:r>
      <w:r>
        <w:rPr>
          <w:sz w:val="20"/>
          <w:szCs w:val="20"/>
        </w:rPr>
        <w:t xml:space="preserve"> les trois blocs alignés de gauche à droite, la grandeur d'entrée en amont, les deux destinataires en sortie de Communiquer.</w:t>
      </w:r>
    </w:p>
    <w:p>
      <w:pPr>
        <w:spacing w:after="60" w:before="140"/>
      </w:pPr>
      <w:r>
        <w:rPr>
          <w:b/>
          <w:bCs/>
          <w:color w:val="1E7A46"/>
          <w:sz w:val="20"/>
          <w:szCs w:val="20"/>
        </w:rPr>
        <w:t xml:space="preserve">7. </w:t>
      </w:r>
      <w:r>
        <w:rPr>
          <w:b/>
          <w:bCs/>
          <w:sz w:val="20"/>
          <w:szCs w:val="20"/>
        </w:rPr>
        <w:t xml:space="preserve">Nommer</w:t>
      </w:r>
      <w:r>
        <w:rPr>
          <w:sz w:val="20"/>
          <w:szCs w:val="20"/>
        </w:rPr>
        <w:t xml:space="preserve"> dans chaque bloc les composants retenus à l'étape 1, par leur repère et leur nom.</w:t>
      </w:r>
    </w:p>
    <w:p>
      <w:pPr>
        <w:spacing w:after="60" w:before="140"/>
      </w:pPr>
      <w:r>
        <w:rPr>
          <w:b/>
          <w:bCs/>
          <w:color w:val="1E7A46"/>
          <w:sz w:val="20"/>
          <w:szCs w:val="20"/>
        </w:rPr>
        <w:t xml:space="preserve">8. </w:t>
      </w:r>
      <w:r>
        <w:rPr>
          <w:b/>
          <w:bCs/>
          <w:sz w:val="20"/>
          <w:szCs w:val="20"/>
        </w:rPr>
        <w:t xml:space="preserve">Étiqueter</w:t>
      </w:r>
      <w:r>
        <w:rPr>
          <w:sz w:val="20"/>
          <w:szCs w:val="20"/>
        </w:rPr>
        <w:t xml:space="preserve"> chaque flèche par ce qu'elle transporte : une grandeur physique, une information, une décision, un ordre.</w:t>
      </w:r>
    </w:p>
    <w:p>
      <w:pPr>
        <w:spacing w:after="60" w:before="140"/>
      </w:pPr>
      <w:r>
        <w:rPr>
          <w:b/>
          <w:bCs/>
          <w:color w:val="1E7A46"/>
          <w:sz w:val="20"/>
          <w:szCs w:val="20"/>
        </w:rPr>
        <w:t xml:space="preserve">9. </w:t>
      </w:r>
      <w:r>
        <w:rPr>
          <w:b/>
          <w:bCs/>
          <w:sz w:val="20"/>
          <w:szCs w:val="20"/>
        </w:rPr>
        <w:t xml:space="preserve">Indiquer</w:t>
      </w:r>
      <w:r>
        <w:rPr>
          <w:sz w:val="20"/>
          <w:szCs w:val="20"/>
        </w:rPr>
        <w:t xml:space="preserve"> sur le trajet de chaque sortie le moyen de transmission emprunté, quand il y en a un.</w:t>
      </w:r>
    </w:p>
    <w:p>
      <w:pPr>
        <w:spacing w:after="60" w:before="140"/>
      </w:pPr>
      <w:r>
        <w:rPr>
          <w:b/>
          <w:bCs/>
          <w:color w:val="1E7A46"/>
          <w:sz w:val="20"/>
          <w:szCs w:val="20"/>
        </w:rPr>
        <w:t xml:space="preserve">10. </w:t>
      </w:r>
      <w:r>
        <w:rPr>
          <w:b/>
          <w:bCs/>
          <w:sz w:val="20"/>
          <w:szCs w:val="20"/>
        </w:rPr>
        <w:t xml:space="preserve">Écarter</w:t>
      </w:r>
      <w:r>
        <w:rPr>
          <w:sz w:val="20"/>
          <w:szCs w:val="20"/>
        </w:rPr>
        <w:t xml:space="preserve"> du schéma tout élément qui n'appartient pas à la chaîne d'information, et le lister sous le cadre.</w:t>
      </w:r>
    </w:p>
    <w:p>
      <w:pPr>
        <w:spacing w:after="120"/>
      </w:pPr>
      <w:r>
        <w:rPr>
          <w:i/>
          <w:iCs/>
          <w:sz w:val="19"/>
          <w:szCs w:val="19"/>
        </w:rPr>
        <w:t xml:space="preserve">Crayon à papier d'abord. Vous reprendrez votre tracé après le point d'étape.</w:t>
      </w:r>
    </w:p>
    <w:p>
      <w:pPr>
        <w:spacing w:after="80" w:before="150"/>
      </w:pPr>
      <w:r>
        <w:rPr>
          <w:b/>
          <w:bCs/>
          <w:color w:val="1E7A46"/>
          <w:sz w:val="22"/>
          <w:szCs w:val="22"/>
        </w:rPr>
        <w:t xml:space="preserve">Document-réponse — schéma-bloc du radier surveillé</w:t>
      </w:r>
    </w:p>
    <w:tbl>
      <w:tblPr>
        <w:tblW w:type="dxa" w:w="102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200"/>
      </w:tblGrid>
      <w:tr>
        <w:trPr>
          <w:cantSplit w:val="false"/>
          <w:tblHeader w:val="false"/>
        </w:trPr>
        <w:tc>
          <w:tcPr>
            <w:tcW w:type="dxa" w:w="102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sz w:val="24"/>
                <w:szCs w:val="24"/>
              </w:rPr>
              <w:t xml:space="preserve"/>
            </w:r>
          </w:p>
          <w:p>
            <w:r>
              <w:rPr>
                <w:sz w:val="24"/>
                <w:szCs w:val="24"/>
              </w:rPr>
              <w:t xml:space="preserve"/>
            </w:r>
          </w:p>
          <w:p>
            <w:r>
              <w:rPr>
                <w:sz w:val="24"/>
                <w:szCs w:val="24"/>
              </w:rPr>
              <w:t xml:space="preserve"/>
            </w:r>
          </w:p>
          <w:p>
            <w:r>
              <w:rPr>
                <w:sz w:val="24"/>
                <w:szCs w:val="24"/>
              </w:rPr>
              <w:t xml:space="preserve"/>
            </w:r>
          </w:p>
          <w:p>
            <w:r>
              <w:rPr>
                <w:sz w:val="24"/>
                <w:szCs w:val="24"/>
              </w:rPr>
              <w:t xml:space="preserve"/>
            </w:r>
          </w:p>
          <w:p>
            <w:r>
              <w:rPr>
                <w:sz w:val="24"/>
                <w:szCs w:val="24"/>
              </w:rPr>
              <w:t xml:space="preserve"/>
            </w:r>
          </w:p>
          <w:p>
            <w:r>
              <w:rPr>
                <w:sz w:val="24"/>
                <w:szCs w:val="24"/>
              </w:rPr>
              <w:t xml:space="preserve"/>
            </w:r>
          </w:p>
          <w:p>
            <w:r>
              <w:rPr>
                <w:sz w:val="24"/>
                <w:szCs w:val="24"/>
              </w:rPr>
              <w:t xml:space="preserve"/>
            </w:r>
          </w:p>
          <w:p>
            <w:r>
              <w:rPr>
                <w:sz w:val="24"/>
                <w:szCs w:val="24"/>
              </w:rPr>
              <w:t xml:space="preserve"/>
            </w:r>
          </w:p>
          <w:p>
            <w:r>
              <w:rPr>
                <w:sz w:val="24"/>
                <w:szCs w:val="24"/>
              </w:rPr>
              <w:t xml:space="preserve"/>
            </w:r>
          </w:p>
          <w:p>
            <w:r>
              <w:rPr>
                <w:sz w:val="24"/>
                <w:szCs w:val="24"/>
              </w:rPr>
              <w:t xml:space="preserve"/>
            </w:r>
          </w:p>
          <w:p>
            <w:r>
              <w:rPr>
                <w:sz w:val="24"/>
                <w:szCs w:val="24"/>
              </w:rPr>
              <w:t xml:space="preserve"/>
            </w:r>
          </w:p>
          <w:p>
            <w:r>
              <w:rPr>
                <w:sz w:val="24"/>
                <w:szCs w:val="24"/>
              </w:rPr>
              <w:t xml:space="preserve"/>
            </w:r>
          </w:p>
          <w:p>
            <w:r>
              <w:rPr>
                <w:sz w:val="24"/>
                <w:szCs w:val="24"/>
              </w:rPr>
              <w:t xml:space="preserve"/>
            </w:r>
          </w:p>
          <w:p>
            <w:r>
              <w:rPr>
                <w:sz w:val="24"/>
                <w:szCs w:val="24"/>
              </w:rPr>
              <w:t xml:space="preserve"/>
            </w:r>
          </w:p>
          <w:p>
            <w:r>
              <w:rPr>
                <w:sz w:val="24"/>
                <w:szCs w:val="24"/>
              </w:rPr>
              <w:t xml:space="preserve"/>
            </w:r>
          </w:p>
          <w:p>
            <w:r>
              <w:rPr>
                <w:sz w:val="24"/>
                <w:szCs w:val="24"/>
              </w:rPr>
              <w:t xml:space="preserve"/>
            </w:r>
          </w:p>
          <w:p>
            <w:r>
              <w:rPr>
                <w:sz w:val="24"/>
                <w:szCs w:val="24"/>
              </w:rPr>
              <w:t xml:space="preserve"/>
            </w:r>
          </w:p>
          <w:p>
            <w:r>
              <w:rPr>
                <w:sz w:val="24"/>
                <w:szCs w:val="24"/>
              </w:rPr>
              <w:t xml:space="preserve"/>
            </w:r>
          </w:p>
          <w:p>
            <w:r>
              <w:rPr>
                <w:sz w:val="24"/>
                <w:szCs w:val="24"/>
              </w:rPr>
              <w:t xml:space="preserve"/>
            </w:r>
          </w:p>
          <w:p>
            <w:r>
              <w:rPr>
                <w:sz w:val="24"/>
                <w:szCs w:val="24"/>
              </w:rPr>
              <w:t xml:space="preserve"/>
            </w:r>
          </w:p>
          <w:p>
            <w:r>
              <w:rPr>
                <w:sz w:val="24"/>
                <w:szCs w:val="24"/>
              </w:rPr>
              <w:t xml:space="preserve"/>
            </w:r>
          </w:p>
          <w:p>
            <w:r>
              <w:rPr>
                <w:sz w:val="24"/>
                <w:szCs w:val="24"/>
              </w:rPr>
              <w:t xml:space="preserve"/>
            </w:r>
          </w:p>
          <w:p>
            <w:r>
              <w:rPr>
                <w:sz w:val="24"/>
                <w:szCs w:val="24"/>
              </w:rPr>
              <w:t xml:space="preserve"/>
            </w:r>
          </w:p>
          <w:p>
            <w:r>
              <w:rPr>
                <w:sz w:val="24"/>
                <w:szCs w:val="24"/>
              </w:rPr>
              <w:t xml:space="preserve"/>
            </w:r>
          </w:p>
          <w:p>
            <w:r>
              <w:rPr>
                <w:sz w:val="24"/>
                <w:szCs w:val="24"/>
              </w:rPr>
              <w:t xml:space="preserve"/>
            </w:r>
          </w:p>
          <w:p>
            <w:r>
              <w:rPr>
                <w:sz w:val="24"/>
                <w:szCs w:val="24"/>
              </w:rPr>
              <w:t xml:space="preserve"/>
            </w:r>
          </w:p>
          <w:p>
            <w:r>
              <w:rPr>
                <w:sz w:val="24"/>
                <w:szCs w:val="24"/>
              </w:rPr>
              <w:t xml:space="preserve"/>
            </w:r>
          </w:p>
          <w:p>
            <w:r>
              <w:rPr>
                <w:sz w:val="24"/>
                <w:szCs w:val="24"/>
              </w:rPr>
              <w:t xml:space="preserve"/>
            </w:r>
          </w:p>
        </w:tc>
      </w:tr>
    </w:tbl>
    <w:p>
      <w:pPr>
        <w:spacing w:after="80" w:before="150"/>
      </w:pPr>
      <w:r>
        <w:rPr>
          <w:b/>
          <w:bCs/>
          <w:color w:val="1E7A46"/>
          <w:sz w:val="22"/>
          <w:szCs w:val="22"/>
        </w:rPr>
        <w:t xml:space="preserve">Éléments écartés de la chaîne d'information, et pourquoi</w:t>
      </w:r>
    </w:p>
    <w:tbl>
      <w:tblPr>
        <w:tblW w:type="dxa" w:w="102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200"/>
      </w:tblGrid>
      <w:tr>
        <w:trPr>
          <w:cantSplit w:val="false"/>
          <w:tblHeader w:val="false"/>
        </w:trPr>
        <w:tc>
          <w:tcPr>
            <w:tcW w:type="dxa" w:w="102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pPr>
              <w:pBdr>
                <w:bottom w:val="single" w:color="CDCDCD" w:sz="4" w:space="2"/>
              </w:pBdr>
              <w:spacing w:after="110" w:before="11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pBdr>
                <w:bottom w:val="single" w:color="CCCCCC" w:sz="4" w:space="2"/>
              </w:pBdr>
              <w:spacing w:after="110" w:before="11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pBdr>
                <w:bottom w:val="single" w:color="CDCDCD" w:sz="4" w:space="2"/>
              </w:pBdr>
              <w:spacing w:after="110" w:before="110"/>
            </w:pPr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pageBreakBefore/>
        <w:spacing w:after="100" w:before="200"/>
      </w:pPr>
      <w:r>
        <w:rPr>
          <w:b/>
          <w:bCs/>
          <w:color w:val="1E7A46"/>
          <w:sz w:val="26"/>
          <w:szCs w:val="26"/>
        </w:rPr>
        <w:t xml:space="preserve">Étape 3 — Vérifier le travail d'un autre binôme  (15 min)</w:t>
      </w:r>
    </w:p>
    <w:p>
      <w:pPr>
        <w:spacing w:after="60" w:before="140"/>
      </w:pPr>
      <w:r>
        <w:rPr>
          <w:b/>
          <w:bCs/>
          <w:color w:val="1E7A46"/>
          <w:sz w:val="20"/>
          <w:szCs w:val="20"/>
        </w:rPr>
        <w:t xml:space="preserve">11. </w:t>
      </w:r>
      <w:r>
        <w:rPr>
          <w:b/>
          <w:bCs/>
          <w:sz w:val="20"/>
          <w:szCs w:val="20"/>
        </w:rPr>
        <w:t xml:space="preserve">Contrôler</w:t>
      </w:r>
      <w:r>
        <w:rPr>
          <w:sz w:val="20"/>
          <w:szCs w:val="20"/>
        </w:rPr>
        <w:t xml:space="preserve"> le schéma reçu critère par critère, sans le corriger à sa place.</w:t>
      </w:r>
    </w:p>
    <w:p>
      <w:pPr>
        <w:spacing w:after="60" w:before="140"/>
      </w:pPr>
      <w:r>
        <w:rPr>
          <w:b/>
          <w:bCs/>
          <w:color w:val="1E7A46"/>
          <w:sz w:val="20"/>
          <w:szCs w:val="20"/>
        </w:rPr>
        <w:t xml:space="preserve">12. </w:t>
      </w:r>
      <w:r>
        <w:rPr>
          <w:b/>
          <w:bCs/>
          <w:sz w:val="20"/>
          <w:szCs w:val="20"/>
        </w:rPr>
        <w:t xml:space="preserve">Écrire</w:t>
      </w:r>
      <w:r>
        <w:rPr>
          <w:sz w:val="20"/>
          <w:szCs w:val="20"/>
        </w:rPr>
        <w:t xml:space="preserve"> pour chaque critère non satisfait la remarque qui permettra à l'autre binôme de se corriger seul.</w:t>
      </w:r>
    </w:p>
    <w:tbl>
      <w:tblPr>
        <w:tblW w:type="dxa" w:w="102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600"/>
        <w:gridCol w:w="900"/>
        <w:gridCol w:w="2700"/>
      </w:tblGrid>
      <w:tr>
        <w:trPr>
          <w:cantSplit w:val="false"/>
          <w:tblHeader w:val="false"/>
        </w:trPr>
        <w:tc>
          <w:tcPr>
            <w:tcW w:type="dxa" w:w="6600"/>
            <w:shd w:fill="1E7A46" w:val="clear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Critère</w:t>
            </w:r>
          </w:p>
        </w:tc>
        <w:tc>
          <w:tcPr>
            <w:tcW w:type="dxa" w:w="900"/>
            <w:shd w:fill="1E7A46" w:val="clear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Oui / Non</w:t>
            </w:r>
          </w:p>
        </w:tc>
        <w:tc>
          <w:tcPr>
            <w:tcW w:type="dxa" w:w="2700"/>
            <w:shd w:fill="1E7A46" w:val="clear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Remarque</w:t>
            </w:r>
          </w:p>
        </w:tc>
      </w:tr>
      <w:tr>
        <w:trPr>
          <w:cantSplit w:val="false"/>
          <w:tblHeader w:val="false"/>
        </w:trPr>
        <w:tc>
          <w:tcPr>
            <w:tcW w:type="dxa" w:w="66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Les trois blocs sont présents et une grandeur physique entre à gauche.</w:t>
            </w:r>
          </w:p>
        </w:tc>
        <w:tc>
          <w:tcPr>
            <w:tcW w:type="dxa" w:w="9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7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sz w:val="20"/>
                <w:szCs w:val="20"/>
              </w:rPr>
              <w:t xml:space="preserve"/>
            </w:r>
          </w:p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rPr>
          <w:cantSplit w:val="false"/>
          <w:tblHeader w:val="false"/>
        </w:trPr>
        <w:tc>
          <w:tcPr>
            <w:tcW w:type="dxa" w:w="66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Chaque bloc contient au moins un composant nommé par son repère.</w:t>
            </w:r>
          </w:p>
        </w:tc>
        <w:tc>
          <w:tcPr>
            <w:tcW w:type="dxa" w:w="9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7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sz w:val="20"/>
                <w:szCs w:val="20"/>
              </w:rPr>
              <w:t xml:space="preserve"/>
            </w:r>
          </w:p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rPr>
          <w:cantSplit w:val="false"/>
          <w:tblHeader w:val="false"/>
        </w:trPr>
        <w:tc>
          <w:tcPr>
            <w:tcW w:type="dxa" w:w="66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Chaque flèche porte une étiquette qui dit ce qu'elle transporte.</w:t>
            </w:r>
          </w:p>
        </w:tc>
        <w:tc>
          <w:tcPr>
            <w:tcW w:type="dxa" w:w="9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7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sz w:val="20"/>
                <w:szCs w:val="20"/>
              </w:rPr>
              <w:t xml:space="preserve"/>
            </w:r>
          </w:p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rPr>
          <w:cantSplit w:val="false"/>
          <w:tblHeader w:val="false"/>
        </w:trPr>
        <w:tc>
          <w:tcPr>
            <w:tcW w:type="dxa" w:w="66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Les deux destinataires apparaissent et sont distingués l'un de l'autre.</w:t>
            </w:r>
          </w:p>
        </w:tc>
        <w:tc>
          <w:tcPr>
            <w:tcW w:type="dxa" w:w="9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7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sz w:val="20"/>
                <w:szCs w:val="20"/>
              </w:rPr>
              <w:t xml:space="preserve"/>
            </w:r>
          </w:p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rPr>
          <w:cantSplit w:val="false"/>
          <w:tblHeader w:val="false"/>
        </w:trPr>
        <w:tc>
          <w:tcPr>
            <w:tcW w:type="dxa" w:w="66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Le moyen de transmission est placé sur le trajet, pas dans un bloc.</w:t>
            </w:r>
          </w:p>
        </w:tc>
        <w:tc>
          <w:tcPr>
            <w:tcW w:type="dxa" w:w="9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7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sz w:val="20"/>
                <w:szCs w:val="20"/>
              </w:rPr>
              <w:t xml:space="preserve"/>
            </w:r>
          </w:p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rPr>
          <w:cantSplit w:val="false"/>
          <w:tblHeader w:val="false"/>
        </w:trPr>
        <w:tc>
          <w:tcPr>
            <w:tcW w:type="dxa" w:w="66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Aucun élément de la chaîne d'énergie ne figure dans un bloc.</w:t>
            </w:r>
          </w:p>
        </w:tc>
        <w:tc>
          <w:tcPr>
            <w:tcW w:type="dxa" w:w="9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7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sz w:val="20"/>
                <w:szCs w:val="20"/>
              </w:rPr>
              <w:t xml:space="preserve"/>
            </w:r>
          </w:p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100" w:before="200"/>
      </w:pPr>
      <w:r>
        <w:rPr>
          <w:b/>
          <w:bCs/>
          <w:color w:val="1E7A46"/>
          <w:sz w:val="26"/>
          <w:szCs w:val="26"/>
        </w:rPr>
        <w:t xml:space="preserve">Étape 4 — Le client change d'avis  (13 min)</w:t>
      </w:r>
    </w:p>
    <w:tbl>
      <w:tblPr>
        <w:tblW w:type="dxa" w:w="102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200"/>
      </w:tblGrid>
      <w:tr>
        <w:trPr>
          <w:cantSplit w:val="false"/>
          <w:tblHeader w:val="false"/>
        </w:trPr>
        <w:tc>
          <w:tcPr>
            <w:tcW w:type="dxa" w:w="102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pPr>
              <w:spacing w:after="60"/>
            </w:pPr>
            <w:r>
              <w:rPr>
                <w:sz w:val="19"/>
                <w:szCs w:val="19"/>
              </w:rPr>
              <w:t xml:space="preserve">Le poste de commandement veut pouvoir rouvrir le radier à distance, sans envoyer d'agent sur place.</w:t>
            </w:r>
          </w:p>
        </w:tc>
      </w:tr>
    </w:tbl>
    <w:p>
      <w:pPr>
        <w:spacing w:after="60" w:before="140"/>
      </w:pPr>
      <w:r>
        <w:rPr>
          <w:b/>
          <w:bCs/>
          <w:color w:val="1E7A46"/>
          <w:sz w:val="20"/>
          <w:szCs w:val="20"/>
        </w:rPr>
        <w:t xml:space="preserve">13. </w:t>
      </w:r>
      <w:r>
        <w:rPr>
          <w:b/>
          <w:bCs/>
          <w:sz w:val="20"/>
          <w:szCs w:val="20"/>
        </w:rPr>
        <w:t xml:space="preserve">Localiser</w:t>
      </w:r>
      <w:r>
        <w:rPr>
          <w:sz w:val="20"/>
          <w:szCs w:val="20"/>
        </w:rPr>
        <w:t xml:space="preserve"> les blocs de votre schéma que cette demande oblige à modifier.</w:t>
      </w:r>
    </w:p>
    <w:p>
      <w:pPr>
        <w:spacing w:after="60" w:before="140"/>
      </w:pPr>
      <w:r>
        <w:rPr>
          <w:b/>
          <w:bCs/>
          <w:color w:val="1E7A46"/>
          <w:sz w:val="20"/>
          <w:szCs w:val="20"/>
        </w:rPr>
        <w:t xml:space="preserve">14. </w:t>
      </w:r>
      <w:r>
        <w:rPr>
          <w:b/>
          <w:bCs/>
          <w:sz w:val="20"/>
          <w:szCs w:val="20"/>
        </w:rPr>
        <w:t xml:space="preserve">Vérifier</w:t>
      </w:r>
      <w:r>
        <w:rPr>
          <w:sz w:val="20"/>
          <w:szCs w:val="20"/>
        </w:rPr>
        <w:t xml:space="preserve"> si un composant du catalogue doit être ajouté, ou si ce que vous avez déjà suffit.</w:t>
      </w:r>
    </w:p>
    <w:p>
      <w:pPr>
        <w:spacing w:after="60" w:before="140"/>
      </w:pPr>
      <w:r>
        <w:rPr>
          <w:b/>
          <w:bCs/>
          <w:color w:val="1E7A46"/>
          <w:sz w:val="20"/>
          <w:szCs w:val="20"/>
        </w:rPr>
        <w:t xml:space="preserve">15. </w:t>
      </w:r>
      <w:r>
        <w:rPr>
          <w:b/>
          <w:bCs/>
          <w:sz w:val="20"/>
          <w:szCs w:val="20"/>
        </w:rPr>
        <w:t xml:space="preserve">Formuler</w:t>
      </w:r>
      <w:r>
        <w:rPr>
          <w:sz w:val="20"/>
          <w:szCs w:val="20"/>
        </w:rPr>
        <w:t xml:space="preserve"> la règle de décision que le système devra désormais appliquer lorsque deux ordres se contredisent.</w:t>
      </w:r>
    </w:p>
    <w:tbl>
      <w:tblPr>
        <w:tblW w:type="dxa" w:w="102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200"/>
      </w:tblGrid>
      <w:tr>
        <w:trPr>
          <w:cantSplit w:val="false"/>
          <w:tblHeader w:val="false"/>
        </w:trPr>
        <w:tc>
          <w:tcPr>
            <w:tcW w:type="dxa" w:w="102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pPr>
              <w:pBdr>
                <w:bottom w:val="single" w:color="CDCDCD" w:sz="4" w:space="2"/>
              </w:pBdr>
              <w:spacing w:after="110" w:before="11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pBdr>
                <w:bottom w:val="single" w:color="CCCCCC" w:sz="4" w:space="2"/>
              </w:pBdr>
              <w:spacing w:after="110" w:before="11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pBdr>
                <w:bottom w:val="single" w:color="CDCDCD" w:sz="4" w:space="2"/>
              </w:pBdr>
              <w:spacing w:after="110" w:before="11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pBdr>
                <w:bottom w:val="single" w:color="CCCCCC" w:sz="4" w:space="2"/>
              </w:pBdr>
              <w:spacing w:after="110" w:before="11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pBdr>
                <w:bottom w:val="single" w:color="CDCDCD" w:sz="4" w:space="2"/>
              </w:pBdr>
              <w:spacing w:after="110" w:before="11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pBdr>
                <w:bottom w:val="single" w:color="CCCCCC" w:sz="4" w:space="2"/>
              </w:pBdr>
              <w:spacing w:after="110" w:before="11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pBdr>
                <w:bottom w:val="single" w:color="CDCDCD" w:sz="4" w:space="2"/>
              </w:pBdr>
              <w:spacing w:after="110" w:before="110"/>
            </w:pPr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80" w:before="150"/>
      </w:pPr>
      <w:r>
        <w:rPr>
          <w:b/>
          <w:bCs/>
          <w:color w:val="1E7A46"/>
          <w:sz w:val="22"/>
          <w:szCs w:val="22"/>
        </w:rPr>
        <w:t xml:space="preserve">Ce que vous devez savoir refaire seul après ce TP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19"/>
          <w:szCs w:val="19"/>
        </w:rPr>
        <w:t xml:space="preserve">Traduire une phrase de client en une fonction de la chaîne d'information.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19"/>
          <w:szCs w:val="19"/>
        </w:rPr>
        <w:t xml:space="preserve">Choisir un composant sur une caractéristique chiffrée et le dire en une phrase.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19"/>
          <w:szCs w:val="19"/>
        </w:rPr>
        <w:t xml:space="preserve">Tracer un schéma-bloc complet, flèches étiquetées, à partir d'un besoin seul.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19"/>
          <w:szCs w:val="19"/>
        </w:rPr>
        <w:t xml:space="preserve">Reconnaître ce qui relève de la chaîne d'énergie et l'écarter.</w:t>
      </w:r>
    </w:p>
    <w:p>
      <w:pPr>
        <w:pageBreakBefore/>
        <w:spacing w:after="100" w:before="0"/>
      </w:pPr>
      <w:r>
        <w:rPr>
          <w:b/>
          <w:bCs/>
          <w:color w:val="1E7A46"/>
          <w:sz w:val="30"/>
          <w:szCs w:val="30"/>
        </w:rPr>
        <w:t xml:space="preserve">Ressources — le radier surveillé</w:t>
      </w:r>
    </w:p>
    <w:p>
      <w:pPr>
        <w:spacing w:after="120"/>
      </w:pPr>
      <w:r>
        <w:rPr>
          <w:i/>
          <w:iCs/>
          <w:sz w:val="19"/>
          <w:szCs w:val="19"/>
        </w:rPr>
        <w:t xml:space="preserve">Partie non imprimée, ouverte sur le poste du binôme.</w:t>
      </w:r>
    </w:p>
    <w:p>
      <w:pPr>
        <w:spacing w:after="100" w:before="200"/>
      </w:pPr>
      <w:r>
        <w:rPr>
          <w:b/>
          <w:bCs/>
          <w:color w:val="1E7A46"/>
          <w:sz w:val="26"/>
          <w:szCs w:val="26"/>
        </w:rPr>
        <w:t xml:space="preserve">Le site</w:t>
      </w:r>
    </w:p>
    <w:p>
      <w:pPr>
        <w:spacing w:after="120"/>
      </w:pPr>
      <w:r>
        <w:rPr>
          <w:sz w:val="19"/>
          <w:szCs w:val="19"/>
        </w:rPr>
        <w:t xml:space="preserve">Le radier à équiper franchit une ravine de mi-pente. Il est situé à 4 km du premier bâtiment de la commune et n'est raccordé ni au réseau électrique ni à une ligne téléphonique. La couverture du réseau mobile y est irrégulière. Le poste de commandement de l'intercommunalité, lui, est raccordé et occupé en permanence pendant la saison des pluies.</w:t>
      </w:r>
    </w:p>
    <w:p>
      <w:pPr>
        <w:spacing w:after="120"/>
      </w:pPr>
      <w:r>
        <w:rPr>
          <w:sz w:val="19"/>
          <w:szCs w:val="19"/>
        </w:rPr>
        <w:t xml:space="preserve">Une ravine de ce type peut passer d'un débit nul à un débit torrentiel en moins d'un quart d'heure. La hauteur d'eau utile à surveiller va de quelques centimètres à environ deux mètres. Au-delà de 30 cm, un véhicule léger est emporté.</w:t>
      </w:r>
    </w:p>
    <w:p>
      <w:pPr>
        <w:spacing w:after="120"/>
      </w:pPr>
      <w:r>
        <w:rPr>
          <w:sz w:val="19"/>
          <w:szCs w:val="19"/>
        </w:rPr>
        <w:t xml:space="preserve">La surveillance nationale des crues porte sur les grands bassins versants. Elle ne couvre pas les crues soudaines et localisées des petites ravines : sur un radier isolé, il n'existe aujourd'hui aucun dispositif automatique.</w:t>
      </w:r>
    </w:p>
    <w:p>
      <w:pPr>
        <w:spacing w:after="100" w:before="200"/>
      </w:pPr>
      <w:r>
        <w:rPr>
          <w:b/>
          <w:bCs/>
          <w:color w:val="1E7A46"/>
          <w:sz w:val="26"/>
          <w:szCs w:val="26"/>
        </w:rPr>
        <w:t xml:space="preserve">Où chercher</w:t>
      </w:r>
    </w:p>
    <w:tbl>
      <w:tblPr>
        <w:tblW w:type="dxa" w:w="102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00"/>
        <w:gridCol w:w="6800"/>
      </w:tblGrid>
      <w:tr>
        <w:trPr>
          <w:cantSplit w:val="false"/>
          <w:tblHeader w:val="false"/>
        </w:trPr>
        <w:tc>
          <w:tcPr>
            <w:tcW w:type="dxa" w:w="3400"/>
            <w:shd w:fill="1E7A46" w:val="clear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Vigilance météo et pluies intenses</w:t>
            </w:r>
          </w:p>
        </w:tc>
        <w:tc>
          <w:tcPr>
            <w:tcW w:type="dxa" w:w="68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meteofrance.re</w:t>
            </w:r>
          </w:p>
        </w:tc>
      </w:tr>
      <w:tr>
        <w:trPr>
          <w:cantSplit w:val="false"/>
          <w:tblHeader w:val="false"/>
        </w:trPr>
        <w:tc>
          <w:tcPr>
            <w:tcW w:type="dxa" w:w="3400"/>
            <w:shd w:fill="1E7A46" w:val="clear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Vigilance crues</w:t>
            </w:r>
          </w:p>
        </w:tc>
        <w:tc>
          <w:tcPr>
            <w:tcW w:type="dxa" w:w="68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vigicrues.gouv.fr — lire ce que le service annonce couvrir, et ce qu'il exclut</w:t>
            </w:r>
          </w:p>
        </w:tc>
      </w:tr>
      <w:tr>
        <w:trPr>
          <w:cantSplit w:val="false"/>
          <w:tblHeader w:val="false"/>
        </w:trPr>
        <w:tc>
          <w:tcPr>
            <w:tcW w:type="dxa" w:w="3400"/>
            <w:shd w:fill="1E7A46" w:val="clear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Fiches techniques des composants</w:t>
            </w:r>
          </w:p>
        </w:tc>
        <w:tc>
          <w:tcPr>
            <w:tcW w:type="dxa" w:w="68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déposées avec ce document dans l'espace de la séquence</w:t>
            </w:r>
          </w:p>
        </w:tc>
      </w:tr>
    </w:tbl>
    <w:p>
      <w:pPr>
        <w:spacing w:after="100" w:before="200"/>
      </w:pPr>
      <w:r>
        <w:rPr>
          <w:b/>
          <w:bCs/>
          <w:color w:val="1E7A46"/>
          <w:sz w:val="26"/>
          <w:szCs w:val="26"/>
        </w:rPr>
        <w:t xml:space="preserve">Comment lire le catalogue</w:t>
      </w:r>
    </w:p>
    <w:p>
      <w:pPr>
        <w:spacing w:after="120"/>
      </w:pPr>
      <w:r>
        <w:rPr>
          <w:sz w:val="19"/>
          <w:szCs w:val="19"/>
        </w:rPr>
        <w:t xml:space="preserve">Chaque composant porte un repère. C'est ce repère que vous écrivez dans le dossier et dans le schéma-bloc. La colonne de droite donne les caractéristiques : c'est là, et nulle part ailleurs, que se trouve la phrase qui justifie votre choix. Plusieurs composants d'une même famille conviennent à première vue ; un seul résiste à la lecture des caractéristiques.</w:t>
      </w:r>
    </w:p>
    <w:tbl>
      <w:tblPr>
        <w:tblW w:type="dxa" w:w="102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200"/>
      </w:tblGrid>
      <w:tr>
        <w:trPr>
          <w:cantSplit w:val="false"/>
          <w:tblHeader w:val="false"/>
        </w:trPr>
        <w:tc>
          <w:tcPr>
            <w:tcW w:type="dxa" w:w="10200"/>
            <w:shd w:fill="F2F2F2" w:val="clear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pPr>
              <w:spacing w:after="60"/>
            </w:pPr>
            <w:r>
              <w:rPr>
                <w:sz w:val="19"/>
                <w:szCs w:val="19"/>
              </w:rPr>
              <w:t xml:space="preserve">Tous les composants du catalogue ne servent pas. Certains sont présents pour être écartés — à condition de dire pourquoi.</w:t>
            </w:r>
          </w:p>
        </w:tc>
      </w:tr>
    </w:tbl>
    <w:p>
      <w:pPr>
        <w:pageBreakBefore/>
        <w:spacing w:after="100" w:before="200"/>
      </w:pPr>
      <w:r>
        <w:rPr>
          <w:b/>
          <w:bCs/>
          <w:color w:val="1E7A46"/>
          <w:sz w:val="26"/>
          <w:szCs w:val="26"/>
        </w:rPr>
        <w:t xml:space="preserve">Catalogue — ce qui fait entrer une information dans le système</w:t>
      </w:r>
    </w:p>
    <w:tbl>
      <w:tblPr>
        <w:tblW w:type="dxa" w:w="102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900"/>
        <w:gridCol w:w="5400"/>
      </w:tblGrid>
      <w:tr>
        <w:trPr>
          <w:cantSplit w:val="false"/>
          <w:tblHeader w:val="false"/>
        </w:trPr>
        <w:tc>
          <w:tcPr>
            <w:tcW w:type="dxa" w:w="900"/>
            <w:shd w:fill="1E7A46" w:val="clear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Repère</w:t>
            </w:r>
          </w:p>
        </w:tc>
        <w:tc>
          <w:tcPr>
            <w:tcW w:type="dxa" w:w="3900"/>
            <w:shd w:fill="1E7A46" w:val="clear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Désignation</w:t>
            </w:r>
          </w:p>
        </w:tc>
        <w:tc>
          <w:tcPr>
            <w:tcW w:type="dxa" w:w="5400"/>
            <w:shd w:fill="1E7A46" w:val="clear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Caractéristiques</w:t>
            </w:r>
          </w:p>
        </w:tc>
      </w:tr>
      <w:tr>
        <w:trPr>
          <w:cantSplit w:val="false"/>
          <w:tblHeader w:val="false"/>
        </w:trPr>
        <w:tc>
          <w:tcPr>
            <w:tcW w:type="dxa" w:w="900"/>
            <w:shd w:fill="F2F2F2" w:val="clear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C1</w:t>
            </w:r>
          </w:p>
        </w:tc>
        <w:tc>
          <w:tcPr>
            <w:tcW w:type="dxa" w:w="39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Sonde de niveau à ultrasons JSN-SR04T</w:t>
            </w:r>
          </w:p>
        </w:tc>
        <w:tc>
          <w:tcPr>
            <w:tcW w:type="dxa" w:w="54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portée 0,25 à 4,50 m — boîtier étanche IP67 — se monte au-dessus de l'eau</w:t>
            </w:r>
          </w:p>
        </w:tc>
      </w:tr>
      <w:tr>
        <w:trPr>
          <w:cantSplit w:val="false"/>
          <w:tblHeader w:val="false"/>
        </w:trPr>
        <w:tc>
          <w:tcPr>
            <w:tcW w:type="dxa" w:w="900"/>
            <w:shd w:fill="F2F2F2" w:val="clear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C2</w:t>
            </w:r>
          </w:p>
        </w:tc>
        <w:tc>
          <w:tcPr>
            <w:tcW w:type="dxa" w:w="39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Capteur de pression immergé 0–1 bar</w:t>
            </w:r>
          </w:p>
        </w:tc>
        <w:tc>
          <w:tcPr>
            <w:tcW w:type="dxa" w:w="54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sortie 4–20 mA — corps inox — donne la hauteur d'eau au-dessus du capteur</w:t>
            </w:r>
          </w:p>
        </w:tc>
      </w:tr>
      <w:tr>
        <w:trPr>
          <w:cantSplit w:val="false"/>
          <w:tblHeader w:val="false"/>
        </w:trPr>
        <w:tc>
          <w:tcPr>
            <w:tcW w:type="dxa" w:w="900"/>
            <w:shd w:fill="F2F2F2" w:val="clear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C3</w:t>
            </w:r>
          </w:p>
        </w:tc>
        <w:tc>
          <w:tcPr>
            <w:tcW w:type="dxa" w:w="39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Pluviomètre à augets</w:t>
            </w:r>
          </w:p>
        </w:tc>
        <w:tc>
          <w:tcPr>
            <w:tcW w:type="dxa" w:w="54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un basculement = 0,2 mm de pluie — sortie contact sec</w:t>
            </w:r>
          </w:p>
        </w:tc>
      </w:tr>
      <w:tr>
        <w:trPr>
          <w:cantSplit w:val="false"/>
          <w:tblHeader w:val="false"/>
        </w:trPr>
        <w:tc>
          <w:tcPr>
            <w:tcW w:type="dxa" w:w="900"/>
            <w:shd w:fill="F2F2F2" w:val="clear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C4</w:t>
            </w:r>
          </w:p>
        </w:tc>
        <w:tc>
          <w:tcPr>
            <w:tcW w:type="dxa" w:w="39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Récepteur radio 433 MHz + télécommande 2 boutons</w:t>
            </w:r>
          </w:p>
        </w:tc>
        <w:tc>
          <w:tcPr>
            <w:tcW w:type="dxa" w:w="54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portée annoncée 100 m en champ libre — la télécommande reste dans le véhicule</w:t>
            </w:r>
          </w:p>
        </w:tc>
      </w:tr>
      <w:tr>
        <w:trPr>
          <w:cantSplit w:val="false"/>
          <w:tblHeader w:val="false"/>
        </w:trPr>
        <w:tc>
          <w:tcPr>
            <w:tcW w:type="dxa" w:w="900"/>
            <w:shd w:fill="F2F2F2" w:val="clear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C5</w:t>
            </w:r>
          </w:p>
        </w:tc>
        <w:tc>
          <w:tcPr>
            <w:tcW w:type="dxa" w:w="39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Bouton poussoir étanche IP66 sur coffret</w:t>
            </w:r>
          </w:p>
        </w:tc>
        <w:tc>
          <w:tcPr>
            <w:tcW w:type="dxa" w:w="54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contact à fermeture — accessible seulement au pied du coffret</w:t>
            </w:r>
          </w:p>
        </w:tc>
      </w:tr>
      <w:tr>
        <w:trPr>
          <w:cantSplit w:val="false"/>
          <w:tblHeader w:val="false"/>
        </w:trPr>
        <w:tc>
          <w:tcPr>
            <w:tcW w:type="dxa" w:w="900"/>
            <w:shd w:fill="F2F2F2" w:val="clear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C6</w:t>
            </w:r>
          </w:p>
        </w:tc>
        <w:tc>
          <w:tcPr>
            <w:tcW w:type="dxa" w:w="39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Fin de course de barrière</w:t>
            </w:r>
          </w:p>
        </w:tc>
        <w:tc>
          <w:tcPr>
            <w:tcW w:type="dxa" w:w="54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contact à ouverture — indique que la lisse est effectivement basse</w:t>
            </w:r>
          </w:p>
        </w:tc>
      </w:tr>
    </w:tbl>
    <w:p>
      <w:pPr>
        <w:spacing w:after="100" w:before="200"/>
      </w:pPr>
      <w:r>
        <w:rPr>
          <w:b/>
          <w:bCs/>
          <w:color w:val="1E7A46"/>
          <w:sz w:val="26"/>
          <w:szCs w:val="26"/>
        </w:rPr>
        <w:t xml:space="preserve">Catalogue — ce qui traite l'information</w:t>
      </w:r>
    </w:p>
    <w:tbl>
      <w:tblPr>
        <w:tblW w:type="dxa" w:w="102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900"/>
        <w:gridCol w:w="5400"/>
      </w:tblGrid>
      <w:tr>
        <w:trPr>
          <w:cantSplit w:val="false"/>
          <w:tblHeader w:val="false"/>
        </w:trPr>
        <w:tc>
          <w:tcPr>
            <w:tcW w:type="dxa" w:w="900"/>
            <w:shd w:fill="1E7A46" w:val="clear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Repère</w:t>
            </w:r>
          </w:p>
        </w:tc>
        <w:tc>
          <w:tcPr>
            <w:tcW w:type="dxa" w:w="3900"/>
            <w:shd w:fill="1E7A46" w:val="clear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Désignation</w:t>
            </w:r>
          </w:p>
        </w:tc>
        <w:tc>
          <w:tcPr>
            <w:tcW w:type="dxa" w:w="5400"/>
            <w:shd w:fill="1E7A46" w:val="clear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Caractéristiques</w:t>
            </w:r>
          </w:p>
        </w:tc>
      </w:tr>
      <w:tr>
        <w:trPr>
          <w:cantSplit w:val="false"/>
          <w:tblHeader w:val="false"/>
        </w:trPr>
        <w:tc>
          <w:tcPr>
            <w:tcW w:type="dxa" w:w="900"/>
            <w:shd w:fill="F2F2F2" w:val="clear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T1</w:t>
            </w:r>
          </w:p>
        </w:tc>
        <w:tc>
          <w:tcPr>
            <w:tcW w:type="dxa" w:w="39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Carte à microcontrôleur en boîtier rail DIN</w:t>
            </w:r>
          </w:p>
        </w:tc>
        <w:tc>
          <w:tcPr>
            <w:tcW w:type="dxa" w:w="54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8 entrées — horloge temps réel — 4 Mo de mémoire pour conserver l'historique des mesures</w:t>
            </w:r>
          </w:p>
        </w:tc>
      </w:tr>
      <w:tr>
        <w:trPr>
          <w:cantSplit w:val="false"/>
          <w:tblHeader w:val="false"/>
        </w:trPr>
        <w:tc>
          <w:tcPr>
            <w:tcW w:type="dxa" w:w="900"/>
            <w:shd w:fill="F2F2F2" w:val="clear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T2</w:t>
            </w:r>
          </w:p>
        </w:tc>
        <w:tc>
          <w:tcPr>
            <w:tcW w:type="dxa" w:w="39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Automate compact 12 entrées/sorties</w:t>
            </w:r>
          </w:p>
        </w:tc>
        <w:tc>
          <w:tcPr>
            <w:tcW w:type="dxa" w:w="54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programmation par blocs — aucune mémoire d'historique, ne compare que la valeur instantanée</w:t>
            </w:r>
          </w:p>
        </w:tc>
      </w:tr>
    </w:tbl>
    <w:p>
      <w:pPr>
        <w:spacing w:after="100" w:before="200"/>
      </w:pPr>
      <w:r>
        <w:rPr>
          <w:b/>
          <w:bCs/>
          <w:color w:val="1E7A46"/>
          <w:sz w:val="26"/>
          <w:szCs w:val="26"/>
        </w:rPr>
        <w:t xml:space="preserve">Catalogue — ce qui s'adresse à l'utilisateur</w:t>
      </w:r>
    </w:p>
    <w:tbl>
      <w:tblPr>
        <w:tblW w:type="dxa" w:w="102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900"/>
        <w:gridCol w:w="5400"/>
      </w:tblGrid>
      <w:tr>
        <w:trPr>
          <w:cantSplit w:val="false"/>
          <w:tblHeader w:val="false"/>
        </w:trPr>
        <w:tc>
          <w:tcPr>
            <w:tcW w:type="dxa" w:w="900"/>
            <w:shd w:fill="1E7A46" w:val="clear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Repère</w:t>
            </w:r>
          </w:p>
        </w:tc>
        <w:tc>
          <w:tcPr>
            <w:tcW w:type="dxa" w:w="3900"/>
            <w:shd w:fill="1E7A46" w:val="clear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Désignation</w:t>
            </w:r>
          </w:p>
        </w:tc>
        <w:tc>
          <w:tcPr>
            <w:tcW w:type="dxa" w:w="5400"/>
            <w:shd w:fill="1E7A46" w:val="clear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Caractéristiques</w:t>
            </w:r>
          </w:p>
        </w:tc>
      </w:tr>
      <w:tr>
        <w:trPr>
          <w:cantSplit w:val="false"/>
          <w:tblHeader w:val="false"/>
        </w:trPr>
        <w:tc>
          <w:tcPr>
            <w:tcW w:type="dxa" w:w="900"/>
            <w:shd w:fill="F2F2F2" w:val="clear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U1</w:t>
            </w:r>
          </w:p>
        </w:tc>
        <w:tc>
          <w:tcPr>
            <w:tcW w:type="dxa" w:w="39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Feu à LED clignotant 12 V</w:t>
            </w:r>
          </w:p>
        </w:tc>
        <w:tc>
          <w:tcPr>
            <w:tcW w:type="dxa" w:w="54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visible à 150 m en plein jour</w:t>
            </w:r>
          </w:p>
        </w:tc>
      </w:tr>
      <w:tr>
        <w:trPr>
          <w:cantSplit w:val="false"/>
          <w:tblHeader w:val="false"/>
        </w:trPr>
        <w:tc>
          <w:tcPr>
            <w:tcW w:type="dxa" w:w="900"/>
            <w:shd w:fill="F2F2F2" w:val="clear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U2</w:t>
            </w:r>
          </w:p>
        </w:tc>
        <w:tc>
          <w:tcPr>
            <w:tcW w:type="dxa" w:w="39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Panneau à message variable 2 lignes rétroéclairé</w:t>
            </w:r>
          </w:p>
        </w:tc>
        <w:tc>
          <w:tcPr>
            <w:tcW w:type="dxa" w:w="54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affiche « PASSAGE INTERDIT » — lisible de nuit</w:t>
            </w:r>
          </w:p>
        </w:tc>
      </w:tr>
      <w:tr>
        <w:trPr>
          <w:cantSplit w:val="false"/>
          <w:tblHeader w:val="false"/>
        </w:trPr>
        <w:tc>
          <w:tcPr>
            <w:tcW w:type="dxa" w:w="900"/>
            <w:shd w:fill="F2F2F2" w:val="clear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U3</w:t>
            </w:r>
          </w:p>
        </w:tc>
        <w:tc>
          <w:tcPr>
            <w:tcW w:type="dxa" w:w="39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Sirène 12 V</w:t>
            </w:r>
          </w:p>
        </w:tc>
        <w:tc>
          <w:tcPr>
            <w:tcW w:type="dxa" w:w="54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105 dB à 1 m</w:t>
            </w:r>
          </w:p>
        </w:tc>
      </w:tr>
    </w:tbl>
    <w:p>
      <w:pPr>
        <w:pageBreakBefore/>
        <w:spacing w:after="100" w:before="200"/>
      </w:pPr>
      <w:r>
        <w:rPr>
          <w:b/>
          <w:bCs/>
          <w:color w:val="1E7A46"/>
          <w:sz w:val="26"/>
          <w:szCs w:val="26"/>
        </w:rPr>
        <w:t xml:space="preserve">Catalogue — ce qui commande la chaîne d'énergie</w:t>
      </w:r>
    </w:p>
    <w:tbl>
      <w:tblPr>
        <w:tblW w:type="dxa" w:w="102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900"/>
        <w:gridCol w:w="5400"/>
      </w:tblGrid>
      <w:tr>
        <w:trPr>
          <w:cantSplit w:val="false"/>
          <w:tblHeader w:val="false"/>
        </w:trPr>
        <w:tc>
          <w:tcPr>
            <w:tcW w:type="dxa" w:w="900"/>
            <w:shd w:fill="1E7A46" w:val="clear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Repère</w:t>
            </w:r>
          </w:p>
        </w:tc>
        <w:tc>
          <w:tcPr>
            <w:tcW w:type="dxa" w:w="3900"/>
            <w:shd w:fill="1E7A46" w:val="clear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Désignation</w:t>
            </w:r>
          </w:p>
        </w:tc>
        <w:tc>
          <w:tcPr>
            <w:tcW w:type="dxa" w:w="5400"/>
            <w:shd w:fill="1E7A46" w:val="clear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Caractéristiques</w:t>
            </w:r>
          </w:p>
        </w:tc>
      </w:tr>
      <w:tr>
        <w:trPr>
          <w:cantSplit w:val="false"/>
          <w:tblHeader w:val="false"/>
        </w:trPr>
        <w:tc>
          <w:tcPr>
            <w:tcW w:type="dxa" w:w="900"/>
            <w:shd w:fill="F2F2F2" w:val="clear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S1</w:t>
            </w:r>
          </w:p>
        </w:tc>
        <w:tc>
          <w:tcPr>
            <w:tcW w:type="dxa" w:w="39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Sortie relais 12 V / 8 A</w:t>
            </w:r>
          </w:p>
        </w:tc>
        <w:tc>
          <w:tcPr>
            <w:tcW w:type="dxa" w:w="54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ferme un contact — c'est un ordre, pas la puissance qui fait tourner le moteur</w:t>
            </w:r>
          </w:p>
        </w:tc>
      </w:tr>
      <w:tr>
        <w:trPr>
          <w:cantSplit w:val="false"/>
          <w:tblHeader w:val="false"/>
        </w:trPr>
        <w:tc>
          <w:tcPr>
            <w:tcW w:type="dxa" w:w="900"/>
            <w:shd w:fill="F2F2F2" w:val="clear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S2</w:t>
            </w:r>
          </w:p>
        </w:tc>
        <w:tc>
          <w:tcPr>
            <w:tcW w:type="dxa" w:w="39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Sortie logique 0–5 V vers variateur</w:t>
            </w:r>
          </w:p>
        </w:tc>
        <w:tc>
          <w:tcPr>
            <w:tcW w:type="dxa" w:w="54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fixe une vitesse de descente</w:t>
            </w:r>
          </w:p>
        </w:tc>
      </w:tr>
    </w:tbl>
    <w:p>
      <w:pPr>
        <w:spacing w:after="100" w:before="200"/>
      </w:pPr>
      <w:r>
        <w:rPr>
          <w:b/>
          <w:bCs/>
          <w:color w:val="1E7A46"/>
          <w:sz w:val="26"/>
          <w:szCs w:val="26"/>
        </w:rPr>
        <w:t xml:space="preserve">Catalogue — les moyens de transmission</w:t>
      </w:r>
    </w:p>
    <w:tbl>
      <w:tblPr>
        <w:tblW w:type="dxa" w:w="102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900"/>
        <w:gridCol w:w="5400"/>
      </w:tblGrid>
      <w:tr>
        <w:trPr>
          <w:cantSplit w:val="false"/>
          <w:tblHeader w:val="false"/>
        </w:trPr>
        <w:tc>
          <w:tcPr>
            <w:tcW w:type="dxa" w:w="900"/>
            <w:shd w:fill="1E7A46" w:val="clear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Repère</w:t>
            </w:r>
          </w:p>
        </w:tc>
        <w:tc>
          <w:tcPr>
            <w:tcW w:type="dxa" w:w="3900"/>
            <w:shd w:fill="1E7A46" w:val="clear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Désignation</w:t>
            </w:r>
          </w:p>
        </w:tc>
        <w:tc>
          <w:tcPr>
            <w:tcW w:type="dxa" w:w="5400"/>
            <w:shd w:fill="1E7A46" w:val="clear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Caractéristiques</w:t>
            </w:r>
          </w:p>
        </w:tc>
      </w:tr>
      <w:tr>
        <w:trPr>
          <w:cantSplit w:val="false"/>
          <w:tblHeader w:val="false"/>
        </w:trPr>
        <w:tc>
          <w:tcPr>
            <w:tcW w:type="dxa" w:w="900"/>
            <w:shd w:fill="F2F2F2" w:val="clear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M1</w:t>
            </w:r>
          </w:p>
        </w:tc>
        <w:tc>
          <w:tcPr>
            <w:tcW w:type="dxa" w:w="39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Modem cellulaire 4G + carte SIM</w:t>
            </w:r>
          </w:p>
        </w:tc>
        <w:tc>
          <w:tcPr>
            <w:tcW w:type="dxa" w:w="54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débit confortable — exige une couverture mobile sur le site et un abonnement</w:t>
            </w:r>
          </w:p>
        </w:tc>
      </w:tr>
      <w:tr>
        <w:trPr>
          <w:cantSplit w:val="false"/>
          <w:tblHeader w:val="false"/>
        </w:trPr>
        <w:tc>
          <w:tcPr>
            <w:tcW w:type="dxa" w:w="900"/>
            <w:shd w:fill="F2F2F2" w:val="clear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M2</w:t>
            </w:r>
          </w:p>
        </w:tc>
        <w:tc>
          <w:tcPr>
            <w:tcW w:type="dxa" w:w="39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Module radio LoRa 868 MHz</w:t>
            </w:r>
          </w:p>
        </w:tc>
        <w:tc>
          <w:tcPr>
            <w:tcW w:type="dxa" w:w="54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portée 5 km en vue directe — quelques octets par message — consommation très faible</w:t>
            </w:r>
          </w:p>
        </w:tc>
      </w:tr>
      <w:tr>
        <w:trPr>
          <w:cantSplit w:val="false"/>
          <w:tblHeader w:val="false"/>
        </w:trPr>
        <w:tc>
          <w:tcPr>
            <w:tcW w:type="dxa" w:w="900"/>
            <w:shd w:fill="F2F2F2" w:val="clear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M3</w:t>
            </w:r>
          </w:p>
        </w:tc>
        <w:tc>
          <w:tcPr>
            <w:tcW w:type="dxa" w:w="39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Module Wi-Fi</w:t>
            </w:r>
          </w:p>
        </w:tc>
        <w:tc>
          <w:tcPr>
            <w:tcW w:type="dxa" w:w="54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portée 50 m — exige une box internet à proximité</w:t>
            </w:r>
          </w:p>
        </w:tc>
      </w:tr>
    </w:tbl>
    <w:p>
      <w:pPr>
        <w:spacing w:after="100" w:before="200"/>
      </w:pPr>
      <w:r>
        <w:rPr>
          <w:b/>
          <w:bCs/>
          <w:color w:val="1E7A46"/>
          <w:sz w:val="26"/>
          <w:szCs w:val="26"/>
        </w:rPr>
        <w:t xml:space="preserve">Fourni avec l'installation</w:t>
      </w:r>
    </w:p>
    <w:p>
      <w:pPr>
        <w:spacing w:after="120"/>
      </w:pPr>
      <w:r>
        <w:rPr>
          <w:sz w:val="19"/>
          <w:szCs w:val="19"/>
        </w:rPr>
        <w:t xml:space="preserve">Ces éléments sont installés sur le site et alimentés. Ils ne sont pas à choisir : ils sont là. À vous de dire s'ils entrent ou non dans la chaîne d'information.</w:t>
      </w:r>
    </w:p>
    <w:tbl>
      <w:tblPr>
        <w:tblW w:type="dxa" w:w="102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9300"/>
      </w:tblGrid>
      <w:tr>
        <w:trPr>
          <w:cantSplit w:val="false"/>
          <w:tblHeader w:val="false"/>
        </w:trPr>
        <w:tc>
          <w:tcPr>
            <w:tcW w:type="dxa" w:w="900"/>
            <w:shd w:fill="1E7A46" w:val="clear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Repère</w:t>
            </w:r>
          </w:p>
        </w:tc>
        <w:tc>
          <w:tcPr>
            <w:tcW w:type="dxa" w:w="9300"/>
            <w:shd w:fill="1E7A46" w:val="clear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Désignation</w:t>
            </w:r>
          </w:p>
        </w:tc>
      </w:tr>
      <w:tr>
        <w:trPr>
          <w:cantSplit w:val="false"/>
          <w:tblHeader w:val="false"/>
        </w:trPr>
        <w:tc>
          <w:tcPr>
            <w:tcW w:type="dxa" w:w="900"/>
            <w:shd w:fill="F2F2F2" w:val="clear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P1</w:t>
            </w:r>
          </w:p>
        </w:tc>
        <w:tc>
          <w:tcPr>
            <w:tcW w:type="dxa" w:w="93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Panneau photovoltaïque 100 W</w:t>
            </w:r>
          </w:p>
        </w:tc>
      </w:tr>
      <w:tr>
        <w:trPr>
          <w:cantSplit w:val="false"/>
          <w:tblHeader w:val="false"/>
        </w:trPr>
        <w:tc>
          <w:tcPr>
            <w:tcW w:type="dxa" w:w="900"/>
            <w:shd w:fill="F2F2F2" w:val="clear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P2</w:t>
            </w:r>
          </w:p>
        </w:tc>
        <w:tc>
          <w:tcPr>
            <w:tcW w:type="dxa" w:w="93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Batterie 12 V — 60 Ah</w:t>
            </w:r>
          </w:p>
        </w:tc>
      </w:tr>
      <w:tr>
        <w:trPr>
          <w:cantSplit w:val="false"/>
          <w:tblHeader w:val="false"/>
        </w:trPr>
        <w:tc>
          <w:tcPr>
            <w:tcW w:type="dxa" w:w="900"/>
            <w:shd w:fill="F2F2F2" w:val="clear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P3</w:t>
            </w:r>
          </w:p>
        </w:tc>
        <w:tc>
          <w:tcPr>
            <w:tcW w:type="dxa" w:w="93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Régulateur de charge MPPT</w:t>
            </w:r>
          </w:p>
        </w:tc>
      </w:tr>
      <w:tr>
        <w:trPr>
          <w:cantSplit w:val="false"/>
          <w:tblHeader w:val="false"/>
        </w:trPr>
        <w:tc>
          <w:tcPr>
            <w:tcW w:type="dxa" w:w="900"/>
            <w:shd w:fill="F2F2F2" w:val="clear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P4</w:t>
            </w:r>
          </w:p>
        </w:tc>
        <w:tc>
          <w:tcPr>
            <w:tcW w:type="dxa" w:w="93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Motoréducteur de barrière 12 V</w:t>
            </w:r>
          </w:p>
        </w:tc>
      </w:tr>
      <w:tr>
        <w:trPr>
          <w:cantSplit w:val="false"/>
          <w:tblHeader w:val="false"/>
        </w:trPr>
        <w:tc>
          <w:tcPr>
            <w:tcW w:type="dxa" w:w="900"/>
            <w:shd w:fill="F2F2F2" w:val="clear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P5</w:t>
            </w:r>
          </w:p>
        </w:tc>
        <w:tc>
          <w:tcPr>
            <w:tcW w:type="dxa" w:w="93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Lisse de barrière 4 m</w:t>
            </w:r>
          </w:p>
        </w:tc>
      </w:tr>
    </w:tbl>
    <w:p>
      <w:pPr>
        <w:pageBreakBefore/>
        <w:spacing w:after="100" w:before="200"/>
      </w:pPr>
      <w:r>
        <w:rPr>
          <w:b/>
          <w:bCs/>
          <w:color w:val="1E7A46"/>
          <w:sz w:val="26"/>
          <w:szCs w:val="26"/>
        </w:rPr>
        <w:t xml:space="preserve">Le gabarit du schéma-bloc</w:t>
      </w:r>
    </w:p>
    <w:p>
      <w:pPr>
        <w:spacing w:after="120"/>
      </w:pPr>
      <w:r>
        <w:rPr>
          <w:sz w:val="19"/>
          <w:szCs w:val="19"/>
        </w:rPr>
        <w:t xml:space="preserve">Votre tracé doit respecter cette disposition : ce qui entre à gauche, les trois blocs alignés, les deux destinataires en sortie de Communiquer, le moyen de transmission indiqué sur le trajet qui y mène et non dans un bloc.</w:t>
      </w:r>
    </w:p>
    <w:p>
      <w:pPr>
        <w:spacing w:after="140" w:before="140"/>
        <w:jc w:val="center"/>
      </w:pPr>
      <w:r>
        <w:drawing>
          <wp:inline distT="0" distB="0" distL="0" distR="0">
            <wp:extent cx="5524500" cy="1800225"/>
            <wp:effectExtent t="0" r="0" b="0" l="0"/>
            <wp:docPr id="1" name="Image 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00" w:before="200"/>
      </w:pPr>
      <w:r>
        <w:rPr>
          <w:b/>
          <w:bCs/>
          <w:color w:val="1E7A46"/>
          <w:sz w:val="26"/>
          <w:szCs w:val="26"/>
        </w:rPr>
        <w:t xml:space="preserve">Les conventions de tracé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19"/>
          <w:szCs w:val="19"/>
        </w:rPr>
        <w:t xml:space="preserve">Un bloc est un rectangle. On y écrit le nom de la fonction en majuscules, puis les composants retenus, un par ligne, avec leur repère.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19"/>
          <w:szCs w:val="19"/>
        </w:rPr>
        <w:t xml:space="preserve">Une flèche part toujours d'un bloc et arrive toujours quelque part. Elle porte au-dessus d'elle ce qu'elle transporte, en trois ou quatre mots.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19"/>
          <w:szCs w:val="19"/>
        </w:rPr>
        <w:t xml:space="preserve">Un destinataire n'est pas un composant : c'est celui qui reçoit. On l'écrit hors des blocs, en sortie de Communiquer.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19"/>
          <w:szCs w:val="19"/>
        </w:rPr>
        <w:t xml:space="preserve">Un moyen de transmission s'écrit le long de la flèche, jamais à l'intérieur d'un bloc.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19"/>
          <w:szCs w:val="19"/>
        </w:rPr>
        <w:t xml:space="preserve">Un élément qui n'appartient pas à la chaîne d'information ne figure pas sur le schéma. On le cite dessous, avec la raison.</w:t>
      </w:r>
    </w:p>
    <w:p>
      <w:pPr>
        <w:spacing w:after="100" w:before="200"/>
      </w:pPr>
      <w:r>
        <w:rPr>
          <w:b/>
          <w:bCs/>
          <w:color w:val="1E7A46"/>
          <w:sz w:val="26"/>
          <w:szCs w:val="26"/>
        </w:rPr>
        <w:t xml:space="preserve">Les mots du client et les mots de la technique</w:t>
      </w:r>
    </w:p>
    <w:tbl>
      <w:tblPr>
        <w:tblW w:type="dxa" w:w="102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00"/>
        <w:gridCol w:w="5100"/>
      </w:tblGrid>
      <w:tr>
        <w:trPr>
          <w:cantSplit w:val="false"/>
          <w:tblHeader w:val="false"/>
        </w:trPr>
        <w:tc>
          <w:tcPr>
            <w:tcW w:type="dxa" w:w="5100"/>
            <w:shd w:fill="1E7A46" w:val="clear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Le client dit</w:t>
            </w:r>
          </w:p>
        </w:tc>
        <w:tc>
          <w:tcPr>
            <w:tcW w:type="dxa" w:w="5100"/>
            <w:shd w:fill="1E7A46" w:val="clear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Ce que cela veut dire pour vous</w:t>
            </w:r>
          </w:p>
        </w:tc>
      </w:tr>
      <w:tr>
        <w:trPr>
          <w:cantSplit w:val="false"/>
          <w:tblHeader w:val="false"/>
        </w:trPr>
        <w:tc>
          <w:tcPr>
            <w:tcW w:type="dxa" w:w="51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« mesurer en permanence »</w:t>
            </w:r>
          </w:p>
        </w:tc>
        <w:tc>
          <w:tcPr>
            <w:tcW w:type="dxa" w:w="51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une grandeur physique entre dans le système ; il faut un capteur et une périodicité.</w:t>
            </w:r>
          </w:p>
        </w:tc>
      </w:tr>
      <w:tr>
        <w:trPr>
          <w:cantSplit w:val="false"/>
          <w:tblHeader w:val="false"/>
        </w:trPr>
        <w:tc>
          <w:tcPr>
            <w:tcW w:type="dxa" w:w="51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« décider seul, sur place »</w:t>
            </w:r>
          </w:p>
        </w:tc>
        <w:tc>
          <w:tcPr>
            <w:tcW w:type="dxa" w:w="51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la décision est prise dans le système, pas ailleurs ; il faut de quoi comparer à un seuil.</w:t>
            </w:r>
          </w:p>
        </w:tc>
      </w:tr>
      <w:tr>
        <w:trPr>
          <w:cantSplit w:val="false"/>
          <w:tblHeader w:val="false"/>
        </w:trPr>
        <w:tc>
          <w:tcPr>
            <w:tcW w:type="dxa" w:w="51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« prévenir »</w:t>
            </w:r>
          </w:p>
        </w:tc>
        <w:tc>
          <w:tcPr>
            <w:tcW w:type="dxa" w:w="51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une information sort vers quelqu'un : dire vers qui, et par quel chemin.</w:t>
            </w:r>
          </w:p>
        </w:tc>
      </w:tr>
      <w:tr>
        <w:trPr>
          <w:cantSplit w:val="false"/>
          <w:tblHeader w:val="false"/>
        </w:trPr>
        <w:tc>
          <w:tcPr>
            <w:tcW w:type="dxa" w:w="51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« abaisser », « fermer »</w:t>
            </w:r>
          </w:p>
        </w:tc>
        <w:tc>
          <w:tcPr>
            <w:tcW w:type="dxa" w:w="51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un ordre part vers la chaîne d'énergie ; le mouvement lui-même n'est pas de l'information.</w:t>
            </w:r>
          </w:p>
        </w:tc>
      </w:tr>
      <w:tr>
        <w:trPr>
          <w:cantSplit w:val="false"/>
          <w:tblHeader w:val="false"/>
        </w:trPr>
        <w:tc>
          <w:tcPr>
            <w:tcW w:type="dxa" w:w="51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« sans raccordement au réseau »</w:t>
            </w:r>
          </w:p>
        </w:tc>
        <w:tc>
          <w:tcPr>
            <w:tcW w:type="dxa" w:w="51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une contrainte d'alimentation : elle ne se place dans aucune des trois fonctions.</w:t>
            </w:r>
          </w:p>
        </w:tc>
      </w:tr>
    </w:tbl>
    <w:p>
      <w:pPr>
        <w:spacing w:after="0" w:before="0"/>
      </w:pPr>
      <w:r>
        <w:rPr>
          <w:sz w:val="2"/>
          <w:szCs w:val="2"/>
        </w:rPr>
        <w:t xml:space="preserve"/>
      </w:r>
    </w:p>
    <w:sectPr>
      <w:footerReference w:type="default" r:id="rId7"/>
      <w:pgSz w:w="12240" w:h="15840" w:orient="portrait"/>
      <w:pgMar w:top="1000" w:right="1100" w:bottom="10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DDDDDD" w:sz="4" w:space="6"/>
      </w:pBdr>
      <w:jc w:val="center"/>
    </w:pPr>
    <w:r>
      <w:rPr>
        <w:i/>
        <w:iCs/>
        <w:color w:val="888888"/>
        <w:sz w:val="15"/>
        <w:szCs w:val="15"/>
      </w:rPr>
      <w:t xml:space="preserve">Classeur (p. 1 à 4) + poste du binôme   |   Comment un objet peut-il percevoir un danger, décider seul, et prévenir — sans personne derrière ?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image" Target="media/b5e00c53e700ee4a4160b9f4c87b475dac2f7f86.png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2026-08-05T10:05:57.663Z</dcterms:created>
  <dcterms:modified xsi:type="dcterms:W3CDTF">2026-08-05T10:05:57.663Z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